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16DB" w14:textId="77777777" w:rsidR="00556D43" w:rsidRPr="006851F4" w:rsidRDefault="00556D43" w:rsidP="00556D43">
      <w:pPr>
        <w:jc w:val="center"/>
        <w:rPr>
          <w:rFonts w:ascii="OpenSans-Regular" w:eastAsia="Calibri" w:hAnsi="OpenSans-Regular" w:cs="Arial"/>
          <w:b/>
          <w:i/>
          <w:sz w:val="56"/>
          <w:szCs w:val="56"/>
          <w:lang w:val="en-US"/>
        </w:rPr>
      </w:pPr>
      <w:r>
        <w:rPr>
          <w:noProof/>
        </w:rPr>
        <w:drawing>
          <wp:inline distT="0" distB="0" distL="0" distR="0" wp14:anchorId="1EFF6531" wp14:editId="46D9DB26">
            <wp:extent cx="3639627" cy="1365622"/>
            <wp:effectExtent l="0" t="0" r="0" b="6350"/>
            <wp:docPr id="2038933208" name="Picture 3" descr="A picture containing drawing, food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27" cy="136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5D3A3" w14:textId="77777777" w:rsidR="00556D43" w:rsidRDefault="00556D43" w:rsidP="00556D43">
      <w:pPr>
        <w:jc w:val="center"/>
        <w:rPr>
          <w:rFonts w:ascii="OpenSans-Regular" w:hAnsi="OpenSans-Regular" w:cs="OpenSans-Regular"/>
          <w:color w:val="1A9B8E"/>
          <w:sz w:val="56"/>
          <w:szCs w:val="56"/>
          <w:lang w:eastAsia="zh-CN"/>
        </w:rPr>
      </w:pPr>
    </w:p>
    <w:p w14:paraId="5E2B4258" w14:textId="25C33028" w:rsidR="00556D43" w:rsidRDefault="00556D43" w:rsidP="00556D43">
      <w:pPr>
        <w:jc w:val="center"/>
        <w:rPr>
          <w:rFonts w:ascii="OpenSans-Regular" w:hAnsi="OpenSans-Regular" w:cs="OpenSans-Regular"/>
          <w:color w:val="005A91"/>
          <w:sz w:val="56"/>
          <w:szCs w:val="56"/>
          <w:lang w:eastAsia="zh-CN"/>
        </w:rPr>
      </w:pPr>
      <w:proofErr w:type="spellStart"/>
      <w:r w:rsidRPr="009B6A88">
        <w:rPr>
          <w:rFonts w:ascii="OpenSans-Regular" w:hAnsi="OpenSans-Regular" w:cs="OpenSans-Regular"/>
          <w:color w:val="1A9B8E"/>
          <w:sz w:val="56"/>
          <w:szCs w:val="56"/>
          <w:lang w:eastAsia="zh-CN"/>
        </w:rPr>
        <w:t>MarinTrust</w:t>
      </w:r>
      <w:proofErr w:type="spellEnd"/>
      <w:r w:rsidRPr="009B6A88">
        <w:rPr>
          <w:rFonts w:ascii="OpenSans-Regular" w:hAnsi="OpenSans-Regular" w:cs="OpenSans-Regular"/>
          <w:color w:val="1A9B8E"/>
          <w:sz w:val="56"/>
          <w:szCs w:val="56"/>
          <w:lang w:eastAsia="zh-CN"/>
        </w:rPr>
        <w:t xml:space="preserve"> Standard V2 </w:t>
      </w:r>
    </w:p>
    <w:p w14:paraId="25612B3A" w14:textId="77777777" w:rsidR="00D11100" w:rsidRDefault="00D11100" w:rsidP="00556D43">
      <w:pPr>
        <w:rPr>
          <w:rFonts w:ascii="Calibri" w:hAnsi="Calibri" w:cs="Arial"/>
          <w:b/>
          <w:color w:val="808080" w:themeColor="background1" w:themeShade="80"/>
          <w:sz w:val="52"/>
          <w:szCs w:val="52"/>
        </w:rPr>
      </w:pPr>
    </w:p>
    <w:p w14:paraId="631AC8DD" w14:textId="541535E2" w:rsidR="00556D43" w:rsidRDefault="007B4E04" w:rsidP="00954F92">
      <w:pPr>
        <w:jc w:val="center"/>
        <w:rPr>
          <w:rFonts w:ascii="OpenSans-Regular" w:hAnsi="OpenSans-Regular" w:cs="OpenSans-Regular"/>
          <w:color w:val="005A91"/>
          <w:sz w:val="56"/>
          <w:szCs w:val="56"/>
          <w:lang w:eastAsia="zh-CN"/>
        </w:rPr>
      </w:pPr>
      <w:r>
        <w:rPr>
          <w:rFonts w:ascii="OpenSans-Regular" w:hAnsi="OpenSans-Regular" w:cs="OpenSans-Regular"/>
          <w:color w:val="005A91"/>
          <w:sz w:val="56"/>
          <w:szCs w:val="56"/>
          <w:lang w:eastAsia="zh-CN"/>
        </w:rPr>
        <w:t>By-product</w:t>
      </w:r>
      <w:r w:rsidR="00556D43" w:rsidRPr="00556D43">
        <w:rPr>
          <w:rFonts w:ascii="OpenSans-Regular" w:hAnsi="OpenSans-Regular" w:cs="OpenSans-Regular"/>
          <w:color w:val="005A91"/>
          <w:sz w:val="56"/>
          <w:szCs w:val="56"/>
          <w:lang w:eastAsia="zh-CN"/>
        </w:rPr>
        <w:t xml:space="preserve"> Fishery Assessment </w:t>
      </w:r>
    </w:p>
    <w:p w14:paraId="40D17485" w14:textId="462243CE" w:rsidR="00EB09B1" w:rsidRPr="00EB09B1" w:rsidRDefault="00EB09B1" w:rsidP="00EB09B1">
      <w:pPr>
        <w:jc w:val="center"/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</w:pPr>
      <w:r w:rsidRPr="00EB09B1"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  <w:t xml:space="preserve">White Anglerfish (Lophius </w:t>
      </w:r>
      <w:proofErr w:type="spellStart"/>
      <w:r w:rsidRPr="00EB09B1"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  <w:t>piscatorius</w:t>
      </w:r>
      <w:proofErr w:type="spellEnd"/>
      <w:r w:rsidRPr="00EB09B1"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  <w:t>) in</w:t>
      </w:r>
    </w:p>
    <w:p w14:paraId="3E6FEFE7" w14:textId="77777777" w:rsidR="00EB09B1" w:rsidRPr="00EB09B1" w:rsidRDefault="00EB09B1" w:rsidP="00EB09B1">
      <w:pPr>
        <w:jc w:val="center"/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</w:pPr>
      <w:r w:rsidRPr="00EB09B1"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  <w:t>FAO Area 27 Northeast Atlantic,</w:t>
      </w:r>
    </w:p>
    <w:p w14:paraId="675345BC" w14:textId="77777777" w:rsidR="00EB09B1" w:rsidRPr="00EB09B1" w:rsidRDefault="00EB09B1" w:rsidP="00EB09B1">
      <w:pPr>
        <w:jc w:val="center"/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</w:pPr>
      <w:r w:rsidRPr="00EB09B1"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  <w:t>Subarea 7 b-k and Divisions 8.a-b and</w:t>
      </w:r>
    </w:p>
    <w:p w14:paraId="3CE93414" w14:textId="00A72ED1" w:rsidR="00954F92" w:rsidRPr="00873242" w:rsidRDefault="00EB09B1" w:rsidP="00EB09B1">
      <w:pPr>
        <w:jc w:val="center"/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</w:pPr>
      <w:r w:rsidRPr="00EB09B1"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  <w:t>8.d (Celtics Bay, Bay of Biscay)</w:t>
      </w:r>
      <w:r w:rsidRPr="00EB09B1"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  <w:cr/>
      </w:r>
      <w:r w:rsidR="00F560E5" w:rsidRPr="00873242">
        <w:rPr>
          <w:rFonts w:ascii="OpenSans-Regular" w:hAnsi="OpenSans-Regular" w:cs="OpenSans-Regular"/>
          <w:i/>
          <w:iCs/>
          <w:color w:val="005A91"/>
          <w:sz w:val="56"/>
          <w:szCs w:val="56"/>
          <w:lang w:eastAsia="zh-CN"/>
        </w:rPr>
        <w:t xml:space="preserve"> </w:t>
      </w:r>
    </w:p>
    <w:p w14:paraId="597FAF51" w14:textId="77777777" w:rsidR="0011681C" w:rsidRPr="0011681C" w:rsidRDefault="0011681C" w:rsidP="00954F92">
      <w:pPr>
        <w:jc w:val="center"/>
        <w:rPr>
          <w:b/>
          <w:sz w:val="32"/>
          <w:szCs w:val="52"/>
        </w:rPr>
      </w:pPr>
    </w:p>
    <w:p w14:paraId="12759E48" w14:textId="77777777" w:rsidR="00C24AE0" w:rsidRDefault="00C24AE0">
      <w:pPr>
        <w:rPr>
          <w:b/>
        </w:rPr>
      </w:pPr>
    </w:p>
    <w:p w14:paraId="23D05FD2" w14:textId="77777777" w:rsidR="00B15FDC" w:rsidRDefault="00B15FDC">
      <w:pPr>
        <w:rPr>
          <w:b/>
        </w:rPr>
      </w:pPr>
    </w:p>
    <w:p w14:paraId="0BF8C2D9" w14:textId="77777777" w:rsidR="00B15FDC" w:rsidRDefault="00B15FDC">
      <w:pPr>
        <w:rPr>
          <w:b/>
        </w:rPr>
      </w:pPr>
    </w:p>
    <w:p w14:paraId="38DC8D0C" w14:textId="77777777" w:rsidR="00556D43" w:rsidRPr="009E10F2" w:rsidRDefault="00556D43" w:rsidP="00556D43">
      <w:pPr>
        <w:spacing w:after="0" w:line="240" w:lineRule="auto"/>
        <w:rPr>
          <w:rFonts w:ascii="OpenSans-Regular" w:hAnsi="OpenSans-Regular" w:cs="OpenSans-Regular"/>
          <w:b/>
          <w:bCs/>
          <w:color w:val="4D4D4D"/>
          <w:lang w:eastAsia="zh-CN"/>
        </w:rPr>
      </w:pPr>
      <w:proofErr w:type="spellStart"/>
      <w:r w:rsidRPr="009E10F2">
        <w:rPr>
          <w:rFonts w:ascii="OpenSans-Regular" w:hAnsi="OpenSans-Regular" w:cs="OpenSans-Regular"/>
          <w:b/>
          <w:bCs/>
          <w:color w:val="4D4D4D"/>
          <w:lang w:eastAsia="zh-CN"/>
        </w:rPr>
        <w:t>MarinTrust</w:t>
      </w:r>
      <w:proofErr w:type="spellEnd"/>
      <w:r w:rsidRPr="009E10F2">
        <w:rPr>
          <w:rFonts w:ascii="OpenSans-Regular" w:hAnsi="OpenSans-Regular" w:cs="OpenSans-Regular"/>
          <w:b/>
          <w:bCs/>
          <w:color w:val="4D4D4D"/>
          <w:lang w:eastAsia="zh-CN"/>
        </w:rPr>
        <w:t xml:space="preserve"> Programme</w:t>
      </w:r>
    </w:p>
    <w:p w14:paraId="001BE9B1" w14:textId="77777777" w:rsidR="00556D43" w:rsidRPr="009E10F2" w:rsidRDefault="00556D43" w:rsidP="00556D43">
      <w:pPr>
        <w:spacing w:after="0" w:line="240" w:lineRule="auto"/>
        <w:rPr>
          <w:rFonts w:ascii="OpenSans-Regular" w:hAnsi="OpenSans-Regular" w:cs="OpenSans-Regular"/>
          <w:color w:val="4D4D4D"/>
          <w:lang w:eastAsia="zh-CN"/>
        </w:rPr>
      </w:pPr>
      <w:r w:rsidRPr="009E10F2">
        <w:rPr>
          <w:rFonts w:ascii="OpenSans-Regular" w:hAnsi="OpenSans-Regular" w:cs="OpenSans-Regular"/>
          <w:color w:val="4D4D4D"/>
          <w:lang w:eastAsia="zh-CN"/>
        </w:rPr>
        <w:t>Unit C, Printworks</w:t>
      </w:r>
    </w:p>
    <w:p w14:paraId="49E0E718" w14:textId="77777777" w:rsidR="00556D43" w:rsidRPr="009E10F2" w:rsidRDefault="00556D43" w:rsidP="00556D43">
      <w:pPr>
        <w:spacing w:after="0"/>
        <w:rPr>
          <w:rFonts w:ascii="OpenSans-Regular" w:hAnsi="OpenSans-Regular" w:cs="OpenSans-Regular"/>
          <w:color w:val="4D4D4D"/>
          <w:lang w:eastAsia="zh-CN"/>
        </w:rPr>
      </w:pPr>
      <w:r w:rsidRPr="009E10F2">
        <w:rPr>
          <w:rFonts w:ascii="OpenSans-Regular" w:hAnsi="OpenSans-Regular" w:cs="OpenSans-Regular"/>
          <w:color w:val="4D4D4D"/>
          <w:lang w:eastAsia="zh-CN"/>
        </w:rPr>
        <w:t xml:space="preserve">22 Amelia Street </w:t>
      </w:r>
    </w:p>
    <w:p w14:paraId="540E5B9C" w14:textId="77777777" w:rsidR="00556D43" w:rsidRPr="00EB09B1" w:rsidRDefault="00556D43" w:rsidP="00556D43">
      <w:pPr>
        <w:spacing w:after="0"/>
        <w:rPr>
          <w:rFonts w:ascii="OpenSans-Regular" w:hAnsi="OpenSans-Regular" w:cs="OpenSans-Regular"/>
          <w:color w:val="4D4D4D"/>
          <w:lang w:val="pt-BR" w:eastAsia="zh-CN"/>
        </w:rPr>
      </w:pPr>
      <w:r w:rsidRPr="00EB09B1">
        <w:rPr>
          <w:rFonts w:ascii="OpenSans-Regular" w:hAnsi="OpenSans-Regular" w:cs="OpenSans-Regular"/>
          <w:color w:val="4D4D4D"/>
          <w:lang w:val="pt-BR" w:eastAsia="zh-CN"/>
        </w:rPr>
        <w:t>London</w:t>
      </w:r>
    </w:p>
    <w:p w14:paraId="45DD5A5F" w14:textId="77777777" w:rsidR="00556D43" w:rsidRPr="00EB09B1" w:rsidRDefault="00556D43" w:rsidP="00556D43">
      <w:pPr>
        <w:spacing w:after="0"/>
        <w:rPr>
          <w:rFonts w:ascii="OpenSans-Regular" w:hAnsi="OpenSans-Regular" w:cs="OpenSans-Regular"/>
          <w:color w:val="4D4D4D"/>
          <w:lang w:val="pt-BR" w:eastAsia="zh-CN"/>
        </w:rPr>
      </w:pPr>
      <w:r w:rsidRPr="00EB09B1">
        <w:rPr>
          <w:rFonts w:ascii="OpenSans-Regular" w:hAnsi="OpenSans-Regular" w:cs="OpenSans-Regular"/>
          <w:color w:val="4D4D4D"/>
          <w:lang w:val="pt-BR" w:eastAsia="zh-CN"/>
        </w:rPr>
        <w:t>SE17 3BZ</w:t>
      </w:r>
    </w:p>
    <w:p w14:paraId="57E0BB2A" w14:textId="77777777" w:rsidR="00556D43" w:rsidRPr="00972530" w:rsidRDefault="00556D43" w:rsidP="00556D43">
      <w:pPr>
        <w:spacing w:after="0"/>
        <w:rPr>
          <w:lang w:val="fr-BE"/>
        </w:rPr>
      </w:pPr>
      <w:r w:rsidRPr="00EB09B1">
        <w:rPr>
          <w:rFonts w:ascii="OpenSans-Regular" w:hAnsi="OpenSans-Regular" w:cs="OpenSans-Regular"/>
          <w:color w:val="4D4D4D"/>
          <w:lang w:val="pt-BR" w:eastAsia="zh-CN"/>
        </w:rPr>
        <w:t>E:</w:t>
      </w:r>
      <w:r w:rsidRPr="00972530">
        <w:rPr>
          <w:lang w:val="fr-BE"/>
        </w:rPr>
        <w:t xml:space="preserve"> </w:t>
      </w:r>
      <w:r w:rsidRPr="009E10F2">
        <w:rPr>
          <w:rStyle w:val="Hyperlink"/>
          <w:rFonts w:ascii="OpenSans-Regular" w:hAnsi="OpenSans-Regular"/>
          <w:lang w:val="fr-BE"/>
        </w:rPr>
        <w:t>standards@marin-trust.com</w:t>
      </w:r>
    </w:p>
    <w:p w14:paraId="63790D20" w14:textId="77777777" w:rsidR="00556D43" w:rsidRPr="009E10F2" w:rsidRDefault="00556D43" w:rsidP="00556D43">
      <w:pPr>
        <w:spacing w:after="0"/>
        <w:rPr>
          <w:rFonts w:ascii="OpenSans-Regular" w:hAnsi="OpenSans-Regular" w:cs="OpenSans-Regular"/>
          <w:color w:val="4D4D4D"/>
          <w:lang w:eastAsia="zh-CN"/>
        </w:rPr>
      </w:pPr>
      <w:r w:rsidRPr="009E10F2">
        <w:rPr>
          <w:rFonts w:ascii="OpenSans-Regular" w:hAnsi="OpenSans-Regular" w:cs="OpenSans-Regular"/>
          <w:color w:val="4D4D4D"/>
          <w:lang w:eastAsia="zh-CN"/>
        </w:rPr>
        <w:t>T: +44 2039 780 819</w:t>
      </w:r>
    </w:p>
    <w:p w14:paraId="6157C437" w14:textId="77777777" w:rsidR="00B15FDC" w:rsidRDefault="00B15FDC">
      <w:pPr>
        <w:rPr>
          <w:b/>
        </w:rPr>
      </w:pPr>
    </w:p>
    <w:p w14:paraId="2FACDBDE" w14:textId="52F783C8" w:rsidR="00F97A60" w:rsidRPr="00556D43" w:rsidRDefault="00F97A60" w:rsidP="00F97A60">
      <w:pPr>
        <w:pStyle w:val="Caption"/>
        <w:keepNext/>
        <w:rPr>
          <w:rFonts w:ascii="OpenSans-Regular" w:hAnsi="OpenSans-Regular" w:cs="OpenSans-Regular"/>
          <w:b w:val="0"/>
          <w:bCs w:val="0"/>
          <w:smallCaps w:val="0"/>
          <w:color w:val="005A91"/>
          <w:spacing w:val="0"/>
          <w:sz w:val="36"/>
          <w:szCs w:val="36"/>
          <w:lang w:eastAsia="zh-CN"/>
        </w:rPr>
      </w:pPr>
      <w:r w:rsidRPr="00556D43">
        <w:rPr>
          <w:rFonts w:ascii="OpenSans-Regular" w:hAnsi="OpenSans-Regular" w:cs="OpenSans-Regular"/>
          <w:b w:val="0"/>
          <w:bCs w:val="0"/>
          <w:smallCaps w:val="0"/>
          <w:color w:val="005A91"/>
          <w:spacing w:val="0"/>
          <w:sz w:val="36"/>
          <w:szCs w:val="36"/>
          <w:lang w:eastAsia="zh-CN"/>
        </w:rPr>
        <w:lastRenderedPageBreak/>
        <w:t xml:space="preserve">Table </w:t>
      </w:r>
      <w:r w:rsidRPr="00556D43">
        <w:rPr>
          <w:rFonts w:ascii="OpenSans-Regular" w:hAnsi="OpenSans-Regular" w:cs="OpenSans-Regular"/>
          <w:b w:val="0"/>
          <w:bCs w:val="0"/>
          <w:smallCaps w:val="0"/>
          <w:color w:val="005A91"/>
          <w:spacing w:val="0"/>
          <w:sz w:val="36"/>
          <w:szCs w:val="36"/>
          <w:lang w:eastAsia="zh-CN"/>
        </w:rPr>
        <w:fldChar w:fldCharType="begin"/>
      </w:r>
      <w:r w:rsidRPr="00556D43">
        <w:rPr>
          <w:rFonts w:ascii="OpenSans-Regular" w:hAnsi="OpenSans-Regular" w:cs="OpenSans-Regular"/>
          <w:b w:val="0"/>
          <w:bCs w:val="0"/>
          <w:smallCaps w:val="0"/>
          <w:color w:val="005A91"/>
          <w:spacing w:val="0"/>
          <w:sz w:val="36"/>
          <w:szCs w:val="36"/>
          <w:lang w:eastAsia="zh-CN"/>
        </w:rPr>
        <w:instrText xml:space="preserve"> SEQ Table \* ARABIC </w:instrText>
      </w:r>
      <w:r w:rsidRPr="00556D43">
        <w:rPr>
          <w:rFonts w:ascii="OpenSans-Regular" w:hAnsi="OpenSans-Regular" w:cs="OpenSans-Regular"/>
          <w:b w:val="0"/>
          <w:bCs w:val="0"/>
          <w:smallCaps w:val="0"/>
          <w:color w:val="005A91"/>
          <w:spacing w:val="0"/>
          <w:sz w:val="36"/>
          <w:szCs w:val="36"/>
          <w:lang w:eastAsia="zh-CN"/>
        </w:rPr>
        <w:fldChar w:fldCharType="separate"/>
      </w:r>
      <w:r w:rsidR="00A624A8">
        <w:rPr>
          <w:rFonts w:ascii="OpenSans-Regular" w:hAnsi="OpenSans-Regular" w:cs="OpenSans-Regular"/>
          <w:b w:val="0"/>
          <w:bCs w:val="0"/>
          <w:smallCaps w:val="0"/>
          <w:noProof/>
          <w:color w:val="005A91"/>
          <w:spacing w:val="0"/>
          <w:sz w:val="36"/>
          <w:szCs w:val="36"/>
          <w:lang w:eastAsia="zh-CN"/>
        </w:rPr>
        <w:t>1</w:t>
      </w:r>
      <w:r w:rsidRPr="00556D43">
        <w:rPr>
          <w:rFonts w:ascii="OpenSans-Regular" w:hAnsi="OpenSans-Regular" w:cs="OpenSans-Regular"/>
          <w:b w:val="0"/>
          <w:bCs w:val="0"/>
          <w:smallCaps w:val="0"/>
          <w:color w:val="005A91"/>
          <w:spacing w:val="0"/>
          <w:sz w:val="36"/>
          <w:szCs w:val="36"/>
          <w:lang w:eastAsia="zh-CN"/>
        </w:rPr>
        <w:fldChar w:fldCharType="end"/>
      </w:r>
      <w:r w:rsidRPr="00556D43">
        <w:rPr>
          <w:rFonts w:ascii="OpenSans-Regular" w:hAnsi="OpenSans-Regular" w:cs="OpenSans-Regular"/>
          <w:b w:val="0"/>
          <w:bCs w:val="0"/>
          <w:smallCaps w:val="0"/>
          <w:color w:val="005A91"/>
          <w:spacing w:val="0"/>
          <w:sz w:val="36"/>
          <w:szCs w:val="36"/>
          <w:lang w:eastAsia="zh-CN"/>
        </w:rPr>
        <w:t xml:space="preserve"> Application details and summary of the assessment outcome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2529"/>
        <w:gridCol w:w="2399"/>
        <w:gridCol w:w="4830"/>
      </w:tblGrid>
      <w:tr w:rsidR="007D5A02" w:rsidRPr="00EC3673" w14:paraId="1091BA4D" w14:textId="77777777" w:rsidTr="00FF4709">
        <w:trPr>
          <w:trHeight w:val="275"/>
        </w:trPr>
        <w:tc>
          <w:tcPr>
            <w:tcW w:w="2529" w:type="dxa"/>
            <w:vMerge w:val="restart"/>
            <w:shd w:val="clear" w:color="auto" w:fill="7EC2B8"/>
            <w:vAlign w:val="center"/>
          </w:tcPr>
          <w:p w14:paraId="47C8EB0E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>Fishery Under Assessment</w:t>
            </w:r>
          </w:p>
        </w:tc>
        <w:tc>
          <w:tcPr>
            <w:tcW w:w="2399" w:type="dxa"/>
            <w:vAlign w:val="center"/>
          </w:tcPr>
          <w:p w14:paraId="01EE4E42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 xml:space="preserve">Species: </w:t>
            </w:r>
          </w:p>
        </w:tc>
        <w:tc>
          <w:tcPr>
            <w:tcW w:w="4830" w:type="dxa"/>
            <w:vAlign w:val="center"/>
          </w:tcPr>
          <w:p w14:paraId="2E3CE91C" w14:textId="485E78B1" w:rsidR="007D5A02" w:rsidRPr="00D132D5" w:rsidRDefault="00EB09B1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EB09B1">
              <w:rPr>
                <w:rFonts w:ascii="OpenSans-Regular" w:hAnsi="OpenSans-Regular" w:cs="Arial"/>
                <w:color w:val="4D4D4D"/>
                <w:sz w:val="24"/>
              </w:rPr>
              <w:t xml:space="preserve">White </w:t>
            </w:r>
            <w:r w:rsidR="00C41D39">
              <w:rPr>
                <w:rFonts w:ascii="OpenSans-Regular" w:hAnsi="OpenSans-Regular" w:cs="Arial"/>
                <w:color w:val="4D4D4D"/>
                <w:sz w:val="24"/>
              </w:rPr>
              <w:t>a</w:t>
            </w:r>
            <w:r w:rsidRPr="00EB09B1">
              <w:rPr>
                <w:rFonts w:ascii="OpenSans-Regular" w:hAnsi="OpenSans-Regular" w:cs="Arial"/>
                <w:color w:val="4D4D4D"/>
                <w:sz w:val="24"/>
              </w:rPr>
              <w:t>nglerfish (</w:t>
            </w:r>
            <w:r w:rsidRPr="00EB09B1">
              <w:rPr>
                <w:rFonts w:ascii="OpenSans-Regular" w:hAnsi="OpenSans-Regular" w:cs="Arial"/>
                <w:i/>
                <w:iCs/>
                <w:color w:val="4D4D4D"/>
                <w:sz w:val="24"/>
              </w:rPr>
              <w:t xml:space="preserve">Lophius </w:t>
            </w:r>
            <w:proofErr w:type="spellStart"/>
            <w:r w:rsidRPr="00EB09B1">
              <w:rPr>
                <w:rFonts w:ascii="OpenSans-Regular" w:hAnsi="OpenSans-Regular" w:cs="Arial"/>
                <w:i/>
                <w:iCs/>
                <w:color w:val="4D4D4D"/>
                <w:sz w:val="24"/>
              </w:rPr>
              <w:t>piscatorius</w:t>
            </w:r>
            <w:proofErr w:type="spellEnd"/>
            <w:r w:rsidRPr="00EB09B1">
              <w:rPr>
                <w:rFonts w:ascii="OpenSans-Regular" w:hAnsi="OpenSans-Regular" w:cs="Arial"/>
                <w:i/>
                <w:iCs/>
                <w:color w:val="4D4D4D"/>
                <w:sz w:val="24"/>
              </w:rPr>
              <w:t>)</w:t>
            </w:r>
          </w:p>
          <w:p w14:paraId="71C79450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</w:p>
        </w:tc>
      </w:tr>
      <w:tr w:rsidR="007D5A02" w:rsidRPr="00EC3673" w14:paraId="14BFD64E" w14:textId="77777777" w:rsidTr="00FF4709">
        <w:trPr>
          <w:trHeight w:val="310"/>
        </w:trPr>
        <w:tc>
          <w:tcPr>
            <w:tcW w:w="2529" w:type="dxa"/>
            <w:vMerge/>
            <w:shd w:val="clear" w:color="auto" w:fill="7EC2B8"/>
            <w:vAlign w:val="center"/>
          </w:tcPr>
          <w:p w14:paraId="41A4CB8D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A21C72C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 xml:space="preserve">Geographical area: </w:t>
            </w:r>
          </w:p>
        </w:tc>
        <w:tc>
          <w:tcPr>
            <w:tcW w:w="4830" w:type="dxa"/>
            <w:vAlign w:val="center"/>
          </w:tcPr>
          <w:p w14:paraId="2CE2D2DB" w14:textId="0148B6DF" w:rsidR="007D5A02" w:rsidRPr="00D132D5" w:rsidRDefault="00EB09B1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EB09B1">
              <w:rPr>
                <w:rFonts w:ascii="OpenSans-Regular" w:hAnsi="OpenSans-Regular" w:cs="Arial"/>
                <w:color w:val="4D4D4D"/>
                <w:sz w:val="24"/>
              </w:rPr>
              <w:t>FAO Area 27 Northeast Atlantic</w:t>
            </w:r>
          </w:p>
        </w:tc>
      </w:tr>
      <w:tr w:rsidR="007D5A02" w:rsidRPr="00EC3673" w14:paraId="7DCA8ED6" w14:textId="77777777" w:rsidTr="00FF4709">
        <w:trPr>
          <w:trHeight w:val="351"/>
        </w:trPr>
        <w:tc>
          <w:tcPr>
            <w:tcW w:w="2529" w:type="dxa"/>
            <w:vMerge/>
            <w:shd w:val="clear" w:color="auto" w:fill="7EC2B8"/>
            <w:vAlign w:val="center"/>
          </w:tcPr>
          <w:p w14:paraId="1E8D3166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29ACDF56" w14:textId="558535FB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 xml:space="preserve">Country of origin of the </w:t>
            </w:r>
            <w:r w:rsidR="00C61873">
              <w:rPr>
                <w:rFonts w:ascii="OpenSans-Regular" w:hAnsi="OpenSans-Regular" w:cs="Arial"/>
                <w:color w:val="4D4D4D"/>
                <w:sz w:val="24"/>
              </w:rPr>
              <w:t>product:</w:t>
            </w:r>
          </w:p>
        </w:tc>
        <w:tc>
          <w:tcPr>
            <w:tcW w:w="4830" w:type="dxa"/>
            <w:vAlign w:val="center"/>
          </w:tcPr>
          <w:p w14:paraId="6800B271" w14:textId="68D80A2A" w:rsidR="007D5A02" w:rsidRPr="00D132D5" w:rsidRDefault="00EB09B1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EB09B1">
              <w:rPr>
                <w:rFonts w:ascii="OpenSans-Regular" w:hAnsi="OpenSans-Regular" w:cs="Arial"/>
                <w:color w:val="4D4D4D"/>
                <w:sz w:val="24"/>
              </w:rPr>
              <w:t>France</w:t>
            </w:r>
          </w:p>
        </w:tc>
      </w:tr>
      <w:tr w:rsidR="007D5A02" w:rsidRPr="00EC3673" w14:paraId="0BF60D5E" w14:textId="77777777" w:rsidTr="00FF4709">
        <w:trPr>
          <w:trHeight w:val="664"/>
        </w:trPr>
        <w:tc>
          <w:tcPr>
            <w:tcW w:w="2529" w:type="dxa"/>
            <w:vMerge/>
            <w:shd w:val="clear" w:color="auto" w:fill="7EC2B8"/>
            <w:vAlign w:val="center"/>
          </w:tcPr>
          <w:p w14:paraId="5ED69643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94F5F2E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 xml:space="preserve">Stock: </w:t>
            </w:r>
          </w:p>
        </w:tc>
        <w:tc>
          <w:tcPr>
            <w:tcW w:w="4830" w:type="dxa"/>
            <w:vAlign w:val="center"/>
          </w:tcPr>
          <w:p w14:paraId="2503558F" w14:textId="6B48EFAC" w:rsidR="007D5A02" w:rsidRPr="00D132D5" w:rsidRDefault="00EB09B1" w:rsidP="00C41D39">
            <w:pPr>
              <w:pStyle w:val="Heading2"/>
              <w:rPr>
                <w:rFonts w:ascii="OpenSans-Regular" w:hAnsi="OpenSans-Regular" w:cs="Arial"/>
                <w:color w:val="4D4D4D"/>
                <w:sz w:val="24"/>
              </w:rPr>
            </w:pPr>
            <w:r w:rsidRPr="00EB09B1">
              <w:rPr>
                <w:rFonts w:ascii="OpenSans-Regular" w:hAnsi="OpenSans-Regular" w:cs="Arial"/>
                <w:color w:val="4D4D4D"/>
                <w:sz w:val="24"/>
              </w:rPr>
              <w:t xml:space="preserve">White </w:t>
            </w:r>
            <w:r w:rsidR="00C41D39">
              <w:rPr>
                <w:rFonts w:ascii="OpenSans-Regular" w:hAnsi="OpenSans-Regular" w:cs="Arial"/>
                <w:color w:val="4D4D4D"/>
                <w:sz w:val="24"/>
              </w:rPr>
              <w:t>a</w:t>
            </w:r>
            <w:r w:rsidRPr="00EB09B1">
              <w:rPr>
                <w:rFonts w:ascii="OpenSans-Regular" w:hAnsi="OpenSans-Regular" w:cs="Arial"/>
                <w:color w:val="4D4D4D"/>
                <w:sz w:val="24"/>
              </w:rPr>
              <w:t>nglerfish in Subarea 7 b-k and Divisions</w:t>
            </w:r>
            <w:r w:rsidR="00C41D39">
              <w:rPr>
                <w:rFonts w:ascii="OpenSans-Regular" w:hAnsi="OpenSans-Regular" w:cs="Arial"/>
                <w:color w:val="4D4D4D"/>
                <w:sz w:val="24"/>
              </w:rPr>
              <w:t xml:space="preserve"> </w:t>
            </w:r>
            <w:r w:rsidRPr="00EB09B1">
              <w:rPr>
                <w:rFonts w:ascii="OpenSans-Regular" w:hAnsi="OpenSans-Regular" w:cs="Arial"/>
                <w:color w:val="4D4D4D"/>
                <w:sz w:val="24"/>
              </w:rPr>
              <w:t>8.a-b and 8.d (Celtics Bay, Bay of Biscay)</w:t>
            </w:r>
          </w:p>
        </w:tc>
      </w:tr>
      <w:tr w:rsidR="007D5A02" w:rsidRPr="00EC3673" w14:paraId="413D2D68" w14:textId="77777777" w:rsidTr="00FF4709">
        <w:trPr>
          <w:trHeight w:val="340"/>
        </w:trPr>
        <w:tc>
          <w:tcPr>
            <w:tcW w:w="2529" w:type="dxa"/>
            <w:shd w:val="clear" w:color="auto" w:fill="7EC2B8"/>
            <w:vAlign w:val="center"/>
          </w:tcPr>
          <w:p w14:paraId="796B8E62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>Date</w:t>
            </w:r>
          </w:p>
        </w:tc>
        <w:tc>
          <w:tcPr>
            <w:tcW w:w="7229" w:type="dxa"/>
            <w:gridSpan w:val="2"/>
            <w:vAlign w:val="center"/>
          </w:tcPr>
          <w:p w14:paraId="2E42517E" w14:textId="0E08DAFD" w:rsidR="007D5A02" w:rsidRPr="00D132D5" w:rsidRDefault="00EB09B1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>
              <w:rPr>
                <w:rFonts w:ascii="OpenSans-Regular" w:hAnsi="OpenSans-Regular" w:cs="Arial"/>
                <w:color w:val="4D4D4D"/>
                <w:sz w:val="24"/>
              </w:rPr>
              <w:t>22 July 2023</w:t>
            </w:r>
          </w:p>
        </w:tc>
      </w:tr>
      <w:tr w:rsidR="007D5A02" w:rsidRPr="00EC3673" w14:paraId="0C94BBA6" w14:textId="77777777" w:rsidTr="00FF4709">
        <w:trPr>
          <w:trHeight w:val="340"/>
        </w:trPr>
        <w:tc>
          <w:tcPr>
            <w:tcW w:w="2529" w:type="dxa"/>
            <w:shd w:val="clear" w:color="auto" w:fill="7EC2B8"/>
            <w:vAlign w:val="center"/>
          </w:tcPr>
          <w:p w14:paraId="6303D86E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>Report Code</w:t>
            </w:r>
          </w:p>
        </w:tc>
        <w:tc>
          <w:tcPr>
            <w:tcW w:w="7229" w:type="dxa"/>
            <w:gridSpan w:val="2"/>
            <w:vAlign w:val="center"/>
          </w:tcPr>
          <w:p w14:paraId="2592D226" w14:textId="42F0292A" w:rsidR="007D5A02" w:rsidRPr="00D132D5" w:rsidRDefault="00EB09B1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EB09B1">
              <w:rPr>
                <w:rFonts w:ascii="OpenSans-Regular" w:hAnsi="OpenSans-Regular" w:cs="Arial"/>
                <w:color w:val="4D4D4D"/>
                <w:sz w:val="24"/>
              </w:rPr>
              <w:t>FRA13</w:t>
            </w:r>
          </w:p>
        </w:tc>
      </w:tr>
      <w:tr w:rsidR="007D5A02" w:rsidRPr="00EC3673" w14:paraId="368C9977" w14:textId="77777777" w:rsidTr="00FF4709">
        <w:trPr>
          <w:trHeight w:val="340"/>
        </w:trPr>
        <w:tc>
          <w:tcPr>
            <w:tcW w:w="2529" w:type="dxa"/>
            <w:shd w:val="clear" w:color="auto" w:fill="7EC2B8"/>
            <w:vAlign w:val="center"/>
          </w:tcPr>
          <w:p w14:paraId="40EF797D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>Assessor</w:t>
            </w:r>
          </w:p>
        </w:tc>
        <w:tc>
          <w:tcPr>
            <w:tcW w:w="7229" w:type="dxa"/>
            <w:gridSpan w:val="2"/>
            <w:vAlign w:val="center"/>
          </w:tcPr>
          <w:p w14:paraId="3E14945D" w14:textId="0C5B977E" w:rsidR="007D5A02" w:rsidRPr="00D132D5" w:rsidRDefault="00EB09B1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>
              <w:rPr>
                <w:rFonts w:ascii="OpenSans-Regular" w:hAnsi="OpenSans-Regular" w:cs="Arial"/>
                <w:color w:val="4D4D4D"/>
                <w:sz w:val="24"/>
              </w:rPr>
              <w:t>Ana Elisa Almeida Ayres</w:t>
            </w:r>
          </w:p>
        </w:tc>
      </w:tr>
      <w:tr w:rsidR="007D5A02" w:rsidRPr="00EC3673" w14:paraId="798A7FC2" w14:textId="77777777" w:rsidTr="00FF4709">
        <w:trPr>
          <w:trHeight w:val="340"/>
        </w:trPr>
        <w:tc>
          <w:tcPr>
            <w:tcW w:w="2529" w:type="dxa"/>
            <w:shd w:val="clear" w:color="auto" w:fill="7EC2B8"/>
            <w:vAlign w:val="center"/>
          </w:tcPr>
          <w:p w14:paraId="4AE8305D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>Country of origin of the product - PASS</w:t>
            </w:r>
          </w:p>
        </w:tc>
        <w:tc>
          <w:tcPr>
            <w:tcW w:w="7229" w:type="dxa"/>
            <w:gridSpan w:val="2"/>
            <w:vAlign w:val="center"/>
          </w:tcPr>
          <w:p w14:paraId="48943A39" w14:textId="0D0249E3" w:rsidR="007D5A02" w:rsidRPr="00D132D5" w:rsidRDefault="00EB09B1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EB09B1">
              <w:rPr>
                <w:rFonts w:ascii="OpenSans-Regular" w:hAnsi="OpenSans-Regular" w:cs="Arial"/>
                <w:color w:val="4D4D4D"/>
                <w:sz w:val="24"/>
              </w:rPr>
              <w:t>France</w:t>
            </w:r>
          </w:p>
        </w:tc>
      </w:tr>
      <w:tr w:rsidR="007D5A02" w:rsidRPr="00EC3673" w14:paraId="3D905525" w14:textId="77777777" w:rsidTr="00FF4709">
        <w:trPr>
          <w:trHeight w:val="340"/>
        </w:trPr>
        <w:tc>
          <w:tcPr>
            <w:tcW w:w="2529" w:type="dxa"/>
            <w:shd w:val="clear" w:color="auto" w:fill="7EC2B8"/>
            <w:vAlign w:val="center"/>
          </w:tcPr>
          <w:p w14:paraId="51543AA0" w14:textId="77777777" w:rsidR="007D5A02" w:rsidRPr="00D132D5" w:rsidRDefault="007D5A02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D132D5">
              <w:rPr>
                <w:rFonts w:ascii="OpenSans-Regular" w:hAnsi="OpenSans-Regular" w:cs="Arial"/>
                <w:color w:val="4D4D4D"/>
                <w:sz w:val="24"/>
              </w:rPr>
              <w:t>Country of origin of the product - FAIL</w:t>
            </w:r>
          </w:p>
        </w:tc>
        <w:tc>
          <w:tcPr>
            <w:tcW w:w="7229" w:type="dxa"/>
            <w:gridSpan w:val="2"/>
            <w:vAlign w:val="center"/>
          </w:tcPr>
          <w:p w14:paraId="2759DD6D" w14:textId="11B4D301" w:rsidR="007D5A02" w:rsidRPr="00D132D5" w:rsidRDefault="00EB09B1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EB09B1">
              <w:rPr>
                <w:rFonts w:ascii="OpenSans-Regular" w:hAnsi="OpenSans-Regular" w:cs="Arial"/>
                <w:color w:val="4D4D4D"/>
                <w:sz w:val="24"/>
              </w:rPr>
              <w:t>NA</w:t>
            </w:r>
          </w:p>
        </w:tc>
      </w:tr>
    </w:tbl>
    <w:p w14:paraId="2CA1B6A8" w14:textId="42020C08" w:rsidR="00E33EB0" w:rsidRDefault="00E33EB0" w:rsidP="00E33EB0">
      <w:pPr>
        <w:rPr>
          <w:rFonts w:ascii="OpenSans-Regular" w:hAnsi="OpenSans-Regular"/>
        </w:rPr>
      </w:pP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490"/>
        <w:gridCol w:w="3755"/>
      </w:tblGrid>
      <w:tr w:rsidR="00F97CB0" w:rsidRPr="00EC3673" w14:paraId="0DF6664B" w14:textId="77777777" w:rsidTr="002B33E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2B8"/>
            <w:vAlign w:val="center"/>
          </w:tcPr>
          <w:p w14:paraId="4ED9A0B0" w14:textId="77777777" w:rsidR="00F97CB0" w:rsidRPr="00013722" w:rsidRDefault="00F97CB0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Application details and summary of the assessment outcome</w:t>
            </w:r>
          </w:p>
        </w:tc>
      </w:tr>
      <w:tr w:rsidR="00F97CB0" w:rsidRPr="00EC3673" w14:paraId="7AF108DB" w14:textId="77777777" w:rsidTr="005B33B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ECF" w14:textId="3A539BEA" w:rsidR="00EB09B1" w:rsidRPr="00EB09B1" w:rsidRDefault="00B6476F" w:rsidP="00EB09B1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>
              <w:rPr>
                <w:rFonts w:ascii="OpenSans-Regular" w:hAnsi="OpenSans-Regular" w:cs="Arial"/>
                <w:color w:val="4D4D4D"/>
                <w:sz w:val="24"/>
              </w:rPr>
              <w:t xml:space="preserve">Company </w:t>
            </w:r>
            <w:r w:rsidR="00F97CB0" w:rsidRPr="00013722">
              <w:rPr>
                <w:rFonts w:ascii="OpenSans-Regular" w:hAnsi="OpenSans-Regular" w:cs="Arial"/>
                <w:color w:val="4D4D4D"/>
                <w:sz w:val="24"/>
              </w:rPr>
              <w:t>Name</w:t>
            </w:r>
            <w:r>
              <w:rPr>
                <w:rFonts w:ascii="OpenSans-Regular" w:hAnsi="OpenSans-Regular" w:cs="Arial"/>
                <w:color w:val="4D4D4D"/>
                <w:sz w:val="24"/>
              </w:rPr>
              <w:t>(s)</w:t>
            </w:r>
            <w:r w:rsidR="00F97CB0" w:rsidRPr="00013722">
              <w:rPr>
                <w:rFonts w:ascii="OpenSans-Regular" w:hAnsi="OpenSans-Regular" w:cs="Arial"/>
                <w:color w:val="4D4D4D"/>
                <w:sz w:val="24"/>
              </w:rPr>
              <w:t xml:space="preserve">:  </w:t>
            </w:r>
            <w:proofErr w:type="spellStart"/>
            <w:r w:rsidR="00EB09B1" w:rsidRPr="00EB09B1">
              <w:rPr>
                <w:rFonts w:ascii="OpenSans-Regular" w:hAnsi="OpenSans-Regular" w:cs="Arial"/>
                <w:color w:val="4D4D4D"/>
                <w:sz w:val="24"/>
              </w:rPr>
              <w:t>Bioceval</w:t>
            </w:r>
            <w:proofErr w:type="spellEnd"/>
            <w:r w:rsidR="00EB09B1" w:rsidRPr="00EB09B1">
              <w:rPr>
                <w:rFonts w:ascii="OpenSans-Regular" w:hAnsi="OpenSans-Regular" w:cs="Arial"/>
                <w:color w:val="4D4D4D"/>
                <w:sz w:val="24"/>
              </w:rPr>
              <w:t xml:space="preserve"> SAS - </w:t>
            </w:r>
            <w:proofErr w:type="spellStart"/>
            <w:r w:rsidR="00EB09B1" w:rsidRPr="00EB09B1">
              <w:rPr>
                <w:rFonts w:ascii="OpenSans-Regular" w:hAnsi="OpenSans-Regular" w:cs="Arial"/>
                <w:color w:val="4D4D4D"/>
                <w:sz w:val="24"/>
              </w:rPr>
              <w:t>Concarneau</w:t>
            </w:r>
            <w:proofErr w:type="spellEnd"/>
          </w:p>
          <w:p w14:paraId="40BF035E" w14:textId="665FC385" w:rsidR="00F97CB0" w:rsidRPr="00013722" w:rsidRDefault="00F97CB0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</w:p>
        </w:tc>
      </w:tr>
      <w:tr w:rsidR="00F97CB0" w:rsidRPr="00EC3673" w14:paraId="3BDF29DC" w14:textId="77777777" w:rsidTr="005B33BB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65A" w14:textId="6A6CC36D" w:rsidR="00F97CB0" w:rsidRPr="00013722" w:rsidRDefault="00B6476F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 xml:space="preserve">Country: </w:t>
            </w:r>
          </w:p>
        </w:tc>
      </w:tr>
      <w:tr w:rsidR="00B6476F" w:rsidRPr="00EC3673" w14:paraId="41E0122B" w14:textId="77777777" w:rsidTr="005B33BB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BB7A" w14:textId="20A0B7BA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Email address: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405E" w14:textId="519A3DF9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Applicant Code:</w:t>
            </w:r>
          </w:p>
        </w:tc>
      </w:tr>
      <w:tr w:rsidR="00B6476F" w:rsidRPr="00EC3673" w14:paraId="77822DCA" w14:textId="77777777" w:rsidTr="002B33E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2B8"/>
            <w:vAlign w:val="center"/>
          </w:tcPr>
          <w:p w14:paraId="73149417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Certification Body Details</w:t>
            </w:r>
          </w:p>
        </w:tc>
      </w:tr>
      <w:tr w:rsidR="00B6476F" w:rsidRPr="00EC3673" w14:paraId="6CE41052" w14:textId="77777777" w:rsidTr="005B33BB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8CE7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Name of Certification Body: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50C2" w14:textId="51C3E7B1" w:rsidR="00B6476F" w:rsidRPr="00013722" w:rsidRDefault="00466CD5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>
              <w:rPr>
                <w:rFonts w:ascii="OpenSans-Regular" w:hAnsi="OpenSans-Regular" w:cs="Arial"/>
                <w:color w:val="4D4D4D"/>
                <w:sz w:val="24"/>
              </w:rPr>
              <w:t>NSF</w:t>
            </w:r>
          </w:p>
        </w:tc>
      </w:tr>
      <w:tr w:rsidR="00B6476F" w:rsidRPr="00EC3673" w14:paraId="56C07C6D" w14:textId="77777777" w:rsidTr="005B33B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FE92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Assessor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E65A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Peer Reviewer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F731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Assessment Days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ED3D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Initial/Surveillance/</w:t>
            </w:r>
          </w:p>
          <w:p w14:paraId="2FBA2037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Re-approval</w:t>
            </w:r>
          </w:p>
          <w:p w14:paraId="1272BCC5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</w:p>
        </w:tc>
      </w:tr>
      <w:tr w:rsidR="00B6476F" w:rsidRPr="00EC3673" w14:paraId="41D525F3" w14:textId="77777777" w:rsidTr="005B33B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378B" w14:textId="47ED840B" w:rsidR="00B6476F" w:rsidRPr="00013722" w:rsidRDefault="00EB09B1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EB09B1">
              <w:rPr>
                <w:rFonts w:ascii="OpenSans-Regular" w:hAnsi="OpenSans-Regular" w:cs="Arial"/>
                <w:color w:val="4D4D4D"/>
                <w:sz w:val="24"/>
              </w:rPr>
              <w:t>Ana Elisa Almeida Ayres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017" w14:textId="23733722" w:rsidR="00B6476F" w:rsidRPr="00013722" w:rsidRDefault="00C41D39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>
              <w:rPr>
                <w:rFonts w:ascii="OpenSans-Regular" w:hAnsi="OpenSans-Regular" w:cs="Arial"/>
                <w:color w:val="4D4D4D"/>
                <w:sz w:val="24"/>
              </w:rPr>
              <w:t>Matthew Jew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6580" w14:textId="3C639476" w:rsidR="00B6476F" w:rsidRPr="00013722" w:rsidRDefault="00466CD5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>
              <w:rPr>
                <w:rFonts w:ascii="OpenSans-Regular" w:hAnsi="OpenSans-Regular" w:cs="Arial"/>
                <w:color w:val="4D4D4D"/>
                <w:sz w:val="24"/>
              </w:rPr>
              <w:t>0.5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770F" w14:textId="77777777" w:rsidR="00EB09B1" w:rsidRPr="00EB09B1" w:rsidRDefault="00EB09B1" w:rsidP="00EB09B1">
            <w:pPr>
              <w:pStyle w:val="Heading2"/>
              <w:rPr>
                <w:rFonts w:ascii="OpenSans-Regular" w:hAnsi="OpenSans-Regular" w:cs="Arial"/>
                <w:color w:val="4D4D4D"/>
                <w:sz w:val="24"/>
              </w:rPr>
            </w:pPr>
            <w:r w:rsidRPr="00EB09B1">
              <w:rPr>
                <w:rFonts w:ascii="OpenSans-Regular" w:hAnsi="OpenSans-Regular" w:cs="Arial"/>
                <w:color w:val="4D4D4D"/>
                <w:sz w:val="24"/>
              </w:rPr>
              <w:t>Surveillance 1</w:t>
            </w:r>
          </w:p>
          <w:p w14:paraId="1DA79A3F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</w:p>
        </w:tc>
      </w:tr>
      <w:tr w:rsidR="00B6476F" w:rsidRPr="00EC3673" w14:paraId="11777D98" w14:textId="77777777" w:rsidTr="005B33BB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48F" w14:textId="77777777" w:rsidR="00B6476F" w:rsidRPr="00013722" w:rsidRDefault="00B6476F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Assessment Period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CE26" w14:textId="6FCD5085" w:rsidR="00B6476F" w:rsidRPr="00013722" w:rsidRDefault="003E3805" w:rsidP="00B6476F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>
              <w:rPr>
                <w:rFonts w:ascii="OpenSans-Regular" w:hAnsi="OpenSans-Regular" w:cs="Arial"/>
                <w:color w:val="4D4D4D"/>
                <w:sz w:val="24"/>
              </w:rPr>
              <w:t>Up to July 2023</w:t>
            </w:r>
          </w:p>
        </w:tc>
      </w:tr>
    </w:tbl>
    <w:p w14:paraId="63946453" w14:textId="76FAE774" w:rsidR="00F97CB0" w:rsidRDefault="00F97CB0" w:rsidP="00E33EB0">
      <w:pPr>
        <w:rPr>
          <w:rFonts w:ascii="OpenSans-Regular" w:hAnsi="OpenSans-Regular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34"/>
        <w:gridCol w:w="6732"/>
      </w:tblGrid>
      <w:tr w:rsidR="00DD4CCD" w:rsidRPr="00EC3673" w14:paraId="48044582" w14:textId="77777777" w:rsidTr="002B33E5">
        <w:trPr>
          <w:cantSplit/>
        </w:trPr>
        <w:tc>
          <w:tcPr>
            <w:tcW w:w="9766" w:type="dxa"/>
            <w:gridSpan w:val="2"/>
            <w:shd w:val="clear" w:color="auto" w:fill="7EC2B8"/>
          </w:tcPr>
          <w:p w14:paraId="76A58C4C" w14:textId="77777777" w:rsidR="00DD4CCD" w:rsidRPr="00013722" w:rsidRDefault="00DD4CCD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lastRenderedPageBreak/>
              <w:t>Scope Details</w:t>
            </w:r>
          </w:p>
        </w:tc>
      </w:tr>
      <w:tr w:rsidR="00DD4CCD" w:rsidRPr="00EC3673" w14:paraId="064A9EFA" w14:textId="77777777" w:rsidTr="005B33BB">
        <w:trPr>
          <w:cantSplit/>
        </w:trPr>
        <w:tc>
          <w:tcPr>
            <w:tcW w:w="3034" w:type="dxa"/>
            <w:vAlign w:val="center"/>
          </w:tcPr>
          <w:p w14:paraId="66EB64DD" w14:textId="77777777" w:rsidR="00DD4CCD" w:rsidRPr="00013722" w:rsidRDefault="00DD4CCD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Main Species</w:t>
            </w:r>
          </w:p>
        </w:tc>
        <w:tc>
          <w:tcPr>
            <w:tcW w:w="6732" w:type="dxa"/>
            <w:vAlign w:val="center"/>
          </w:tcPr>
          <w:p w14:paraId="6F896DEA" w14:textId="681F7D5D" w:rsidR="00DD4CCD" w:rsidRPr="00013722" w:rsidRDefault="00C14783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C14783">
              <w:rPr>
                <w:rFonts w:ascii="OpenSans-Regular" w:hAnsi="OpenSans-Regular" w:cs="Arial"/>
                <w:color w:val="4D4D4D"/>
                <w:sz w:val="24"/>
              </w:rPr>
              <w:t xml:space="preserve">White </w:t>
            </w:r>
            <w:r w:rsidR="00C41D39">
              <w:rPr>
                <w:rFonts w:ascii="OpenSans-Regular" w:hAnsi="OpenSans-Regular" w:cs="Arial"/>
                <w:color w:val="4D4D4D"/>
                <w:sz w:val="24"/>
              </w:rPr>
              <w:t>a</w:t>
            </w:r>
            <w:r w:rsidRPr="00C14783">
              <w:rPr>
                <w:rFonts w:ascii="OpenSans-Regular" w:hAnsi="OpenSans-Regular" w:cs="Arial"/>
                <w:color w:val="4D4D4D"/>
                <w:sz w:val="24"/>
              </w:rPr>
              <w:t>nglerfish (</w:t>
            </w:r>
            <w:r w:rsidRPr="00C14783">
              <w:rPr>
                <w:rFonts w:ascii="OpenSans-Regular" w:hAnsi="OpenSans-Regular" w:cs="Arial"/>
                <w:i/>
                <w:iCs/>
                <w:color w:val="4D4D4D"/>
                <w:sz w:val="24"/>
              </w:rPr>
              <w:t xml:space="preserve">Lophius </w:t>
            </w:r>
            <w:proofErr w:type="spellStart"/>
            <w:r w:rsidRPr="00C14783">
              <w:rPr>
                <w:rFonts w:ascii="OpenSans-Regular" w:hAnsi="OpenSans-Regular" w:cs="Arial"/>
                <w:i/>
                <w:iCs/>
                <w:color w:val="4D4D4D"/>
                <w:sz w:val="24"/>
              </w:rPr>
              <w:t>piscatorius</w:t>
            </w:r>
            <w:proofErr w:type="spellEnd"/>
            <w:r w:rsidRPr="00C14783">
              <w:rPr>
                <w:rFonts w:ascii="OpenSans-Regular" w:hAnsi="OpenSans-Regular" w:cs="Arial"/>
                <w:color w:val="4D4D4D"/>
                <w:sz w:val="24"/>
              </w:rPr>
              <w:t>)</w:t>
            </w:r>
          </w:p>
        </w:tc>
      </w:tr>
      <w:tr w:rsidR="00DD4CCD" w:rsidRPr="00EC3673" w14:paraId="1CAE2A22" w14:textId="77777777" w:rsidTr="005B33BB">
        <w:trPr>
          <w:cantSplit/>
        </w:trPr>
        <w:tc>
          <w:tcPr>
            <w:tcW w:w="3034" w:type="dxa"/>
            <w:vAlign w:val="center"/>
          </w:tcPr>
          <w:p w14:paraId="77C17EC2" w14:textId="77777777" w:rsidR="00DD4CCD" w:rsidRPr="00013722" w:rsidRDefault="00DD4CCD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Stock</w:t>
            </w:r>
          </w:p>
        </w:tc>
        <w:tc>
          <w:tcPr>
            <w:tcW w:w="6732" w:type="dxa"/>
            <w:vAlign w:val="center"/>
          </w:tcPr>
          <w:p w14:paraId="5528E38B" w14:textId="1B193792" w:rsidR="00DD4CCD" w:rsidRPr="00013722" w:rsidRDefault="00C14783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C14783">
              <w:rPr>
                <w:rFonts w:ascii="OpenSans-Regular" w:hAnsi="OpenSans-Regular" w:cs="Arial"/>
                <w:color w:val="4D4D4D"/>
                <w:sz w:val="24"/>
              </w:rPr>
              <w:t xml:space="preserve">White </w:t>
            </w:r>
            <w:r w:rsidR="00C41D39">
              <w:rPr>
                <w:rFonts w:ascii="OpenSans-Regular" w:hAnsi="OpenSans-Regular" w:cs="Arial"/>
                <w:color w:val="4D4D4D"/>
                <w:sz w:val="24"/>
              </w:rPr>
              <w:t>a</w:t>
            </w:r>
            <w:r w:rsidRPr="00C14783">
              <w:rPr>
                <w:rFonts w:ascii="OpenSans-Regular" w:hAnsi="OpenSans-Regular" w:cs="Arial"/>
                <w:color w:val="4D4D4D"/>
                <w:sz w:val="24"/>
              </w:rPr>
              <w:t>nglerfish in Subarea 7 b-k and Divisions 8.a-b and 8.d (Celtics Bay, Bay of Biscay)</w:t>
            </w:r>
          </w:p>
        </w:tc>
      </w:tr>
      <w:tr w:rsidR="00DD4CCD" w:rsidRPr="00EC3673" w14:paraId="13B53343" w14:textId="77777777" w:rsidTr="005B33BB">
        <w:trPr>
          <w:cantSplit/>
        </w:trPr>
        <w:tc>
          <w:tcPr>
            <w:tcW w:w="3034" w:type="dxa"/>
            <w:vAlign w:val="center"/>
          </w:tcPr>
          <w:p w14:paraId="60931DA3" w14:textId="77777777" w:rsidR="00DD4CCD" w:rsidRPr="00013722" w:rsidRDefault="00DD4CCD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Fishery Location</w:t>
            </w:r>
          </w:p>
        </w:tc>
        <w:tc>
          <w:tcPr>
            <w:tcW w:w="6732" w:type="dxa"/>
            <w:vAlign w:val="center"/>
          </w:tcPr>
          <w:p w14:paraId="06E4D467" w14:textId="0FB233CC" w:rsidR="00DD4CCD" w:rsidRPr="00013722" w:rsidRDefault="00C14783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C14783">
              <w:rPr>
                <w:rFonts w:ascii="OpenSans-Regular" w:hAnsi="OpenSans-Regular" w:cs="Arial"/>
                <w:color w:val="4D4D4D"/>
                <w:sz w:val="24"/>
              </w:rPr>
              <w:t>FAO 27 Northeast Atlantic</w:t>
            </w:r>
          </w:p>
        </w:tc>
      </w:tr>
      <w:tr w:rsidR="00DD4CCD" w:rsidRPr="00EC3673" w14:paraId="2A089788" w14:textId="77777777" w:rsidTr="005B33BB">
        <w:trPr>
          <w:cantSplit/>
        </w:trPr>
        <w:tc>
          <w:tcPr>
            <w:tcW w:w="3034" w:type="dxa"/>
            <w:vAlign w:val="center"/>
          </w:tcPr>
          <w:p w14:paraId="297C3B87" w14:textId="77777777" w:rsidR="00DD4CCD" w:rsidRPr="00013722" w:rsidRDefault="00DD4CCD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Management Authority (Country/ State)</w:t>
            </w:r>
          </w:p>
        </w:tc>
        <w:tc>
          <w:tcPr>
            <w:tcW w:w="6732" w:type="dxa"/>
            <w:vAlign w:val="center"/>
          </w:tcPr>
          <w:p w14:paraId="1E0467A3" w14:textId="3175AD43" w:rsidR="00DD4CCD" w:rsidRPr="00013722" w:rsidRDefault="00C14783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C14783">
              <w:rPr>
                <w:rFonts w:ascii="OpenSans-Regular" w:hAnsi="OpenSans-Regular" w:cs="Arial"/>
                <w:color w:val="4D4D4D"/>
                <w:sz w:val="24"/>
              </w:rPr>
              <w:t xml:space="preserve">European Union (Common Fisheries Policy), France Direction des </w:t>
            </w:r>
            <w:proofErr w:type="spellStart"/>
            <w:r w:rsidRPr="00C14783">
              <w:rPr>
                <w:rFonts w:ascii="OpenSans-Regular" w:hAnsi="OpenSans-Regular" w:cs="Arial"/>
                <w:color w:val="4D4D4D"/>
                <w:sz w:val="24"/>
              </w:rPr>
              <w:t>Pêches</w:t>
            </w:r>
            <w:proofErr w:type="spellEnd"/>
            <w:r w:rsidRPr="00C14783">
              <w:rPr>
                <w:rFonts w:ascii="OpenSans-Regular" w:hAnsi="OpenSans-Regular" w:cs="Arial"/>
                <w:color w:val="4D4D4D"/>
                <w:sz w:val="24"/>
              </w:rPr>
              <w:t xml:space="preserve"> Maritimes et de </w:t>
            </w:r>
            <w:proofErr w:type="spellStart"/>
            <w:r w:rsidRPr="00C14783">
              <w:rPr>
                <w:rFonts w:ascii="OpenSans-Regular" w:hAnsi="OpenSans-Regular" w:cs="Arial"/>
                <w:color w:val="4D4D4D"/>
                <w:sz w:val="24"/>
              </w:rPr>
              <w:t>l’Aquaculture</w:t>
            </w:r>
            <w:proofErr w:type="spellEnd"/>
          </w:p>
        </w:tc>
      </w:tr>
      <w:tr w:rsidR="00DD4CCD" w:rsidRPr="00EC3673" w14:paraId="4D76BE18" w14:textId="77777777" w:rsidTr="005B33BB">
        <w:trPr>
          <w:cantSplit/>
        </w:trPr>
        <w:tc>
          <w:tcPr>
            <w:tcW w:w="3034" w:type="dxa"/>
            <w:vAlign w:val="center"/>
          </w:tcPr>
          <w:p w14:paraId="26AA028A" w14:textId="77777777" w:rsidR="00DD4CCD" w:rsidRPr="00013722" w:rsidRDefault="00DD4CCD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Gear Type(s)</w:t>
            </w:r>
          </w:p>
        </w:tc>
        <w:tc>
          <w:tcPr>
            <w:tcW w:w="6732" w:type="dxa"/>
            <w:vAlign w:val="center"/>
          </w:tcPr>
          <w:p w14:paraId="6F522D92" w14:textId="5B715D1D" w:rsidR="00AB682D" w:rsidRPr="00AB682D" w:rsidRDefault="00AB682D" w:rsidP="00AB682D">
            <w:pPr>
              <w:pStyle w:val="Heading2"/>
              <w:rPr>
                <w:rFonts w:ascii="OpenSans-Regular" w:hAnsi="OpenSans-Regular" w:cs="Arial"/>
                <w:color w:val="4D4D4D"/>
                <w:sz w:val="24"/>
              </w:rPr>
            </w:pPr>
            <w:r w:rsidRPr="00AB682D">
              <w:rPr>
                <w:rFonts w:ascii="OpenSans-Regular" w:hAnsi="OpenSans-Regular" w:cs="Arial"/>
                <w:color w:val="4D4D4D"/>
                <w:sz w:val="24"/>
              </w:rPr>
              <w:t>202</w:t>
            </w:r>
            <w:r>
              <w:rPr>
                <w:rFonts w:ascii="OpenSans-Regular" w:hAnsi="OpenSans-Regular" w:cs="Arial"/>
                <w:color w:val="4D4D4D"/>
                <w:sz w:val="24"/>
              </w:rPr>
              <w:t>2</w:t>
            </w:r>
            <w:r w:rsidRPr="00AB682D">
              <w:rPr>
                <w:rFonts w:ascii="OpenSans-Regular" w:hAnsi="OpenSans-Regular" w:cs="Arial"/>
                <w:color w:val="4D4D4D"/>
                <w:sz w:val="24"/>
              </w:rPr>
              <w:t xml:space="preserve"> Estimates:</w:t>
            </w:r>
          </w:p>
          <w:p w14:paraId="63304292" w14:textId="66E4C110" w:rsidR="00DD4CCD" w:rsidRPr="00013722" w:rsidRDefault="00AB682D" w:rsidP="00AB682D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AB682D">
              <w:rPr>
                <w:rFonts w:ascii="OpenSans-Regular" w:hAnsi="OpenSans-Regular" w:cs="Arial"/>
                <w:color w:val="4D4D4D"/>
                <w:sz w:val="24"/>
              </w:rPr>
              <w:t>Demersal trawl (6</w:t>
            </w:r>
            <w:r>
              <w:rPr>
                <w:rFonts w:ascii="OpenSans-Regular" w:hAnsi="OpenSans-Regular" w:cs="Arial"/>
                <w:color w:val="4D4D4D"/>
                <w:sz w:val="24"/>
              </w:rPr>
              <w:t>4</w:t>
            </w:r>
            <w:r w:rsidRPr="00AB682D">
              <w:rPr>
                <w:rFonts w:ascii="OpenSans-Regular" w:hAnsi="OpenSans-Regular" w:cs="Arial"/>
                <w:color w:val="4D4D4D"/>
                <w:sz w:val="24"/>
              </w:rPr>
              <w:t xml:space="preserve">%), </w:t>
            </w:r>
            <w:proofErr w:type="spellStart"/>
            <w:r w:rsidRPr="00AB682D">
              <w:rPr>
                <w:rFonts w:ascii="OpenSans-Regular" w:hAnsi="OpenSans-Regular" w:cs="Arial"/>
                <w:color w:val="4D4D4D"/>
                <w:sz w:val="24"/>
              </w:rPr>
              <w:t>Nephrops</w:t>
            </w:r>
            <w:proofErr w:type="spellEnd"/>
            <w:r w:rsidRPr="00AB682D">
              <w:rPr>
                <w:rFonts w:ascii="OpenSans-Regular" w:hAnsi="OpenSans-Regular" w:cs="Arial"/>
                <w:color w:val="4D4D4D"/>
                <w:sz w:val="24"/>
              </w:rPr>
              <w:t xml:space="preserve"> trawl (</w:t>
            </w:r>
            <w:r>
              <w:rPr>
                <w:rFonts w:ascii="OpenSans-Regular" w:hAnsi="OpenSans-Regular" w:cs="Arial"/>
                <w:color w:val="4D4D4D"/>
                <w:sz w:val="24"/>
              </w:rPr>
              <w:t>3.3</w:t>
            </w:r>
            <w:r w:rsidRPr="00AB682D">
              <w:rPr>
                <w:rFonts w:ascii="OpenSans-Regular" w:hAnsi="OpenSans-Regular" w:cs="Arial"/>
                <w:color w:val="4D4D4D"/>
                <w:sz w:val="24"/>
              </w:rPr>
              <w:t>%), beam trawl (14.4%), gillnet (1</w:t>
            </w:r>
            <w:r>
              <w:rPr>
                <w:rFonts w:ascii="OpenSans-Regular" w:hAnsi="OpenSans-Regular" w:cs="Arial"/>
                <w:color w:val="4D4D4D"/>
                <w:sz w:val="24"/>
              </w:rPr>
              <w:t>4</w:t>
            </w:r>
            <w:r w:rsidRPr="00AB682D">
              <w:rPr>
                <w:rFonts w:ascii="OpenSans-Regular" w:hAnsi="OpenSans-Regular" w:cs="Arial"/>
                <w:color w:val="4D4D4D"/>
                <w:sz w:val="24"/>
              </w:rPr>
              <w:t>.</w:t>
            </w:r>
            <w:r>
              <w:rPr>
                <w:rFonts w:ascii="OpenSans-Regular" w:hAnsi="OpenSans-Regular" w:cs="Arial"/>
                <w:color w:val="4D4D4D"/>
                <w:sz w:val="24"/>
              </w:rPr>
              <w:t>6</w:t>
            </w:r>
            <w:r w:rsidRPr="00AB682D">
              <w:rPr>
                <w:rFonts w:ascii="OpenSans-Regular" w:hAnsi="OpenSans-Regular" w:cs="Arial"/>
                <w:color w:val="4D4D4D"/>
                <w:sz w:val="24"/>
              </w:rPr>
              <w:t>%), Other (</w:t>
            </w:r>
            <w:r>
              <w:rPr>
                <w:rFonts w:ascii="OpenSans-Regular" w:hAnsi="OpenSans-Regular" w:cs="Arial"/>
                <w:color w:val="4D4D4D"/>
                <w:sz w:val="24"/>
              </w:rPr>
              <w:t>3.8</w:t>
            </w:r>
            <w:r w:rsidRPr="00AB682D">
              <w:rPr>
                <w:rFonts w:ascii="OpenSans-Regular" w:hAnsi="OpenSans-Regular" w:cs="Arial"/>
                <w:color w:val="4D4D4D"/>
                <w:sz w:val="24"/>
              </w:rPr>
              <w:t>%)</w:t>
            </w:r>
          </w:p>
        </w:tc>
      </w:tr>
      <w:tr w:rsidR="00DD4CCD" w:rsidRPr="00EC3673" w14:paraId="20468F16" w14:textId="77777777" w:rsidTr="002B33E5">
        <w:trPr>
          <w:cantSplit/>
        </w:trPr>
        <w:tc>
          <w:tcPr>
            <w:tcW w:w="9766" w:type="dxa"/>
            <w:gridSpan w:val="2"/>
            <w:shd w:val="clear" w:color="auto" w:fill="7EC2B8"/>
          </w:tcPr>
          <w:p w14:paraId="5F677D80" w14:textId="77777777" w:rsidR="00DD4CCD" w:rsidRPr="00013722" w:rsidRDefault="00DD4CCD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Outcome of Assessment</w:t>
            </w:r>
          </w:p>
        </w:tc>
      </w:tr>
      <w:tr w:rsidR="00DD4CCD" w:rsidRPr="00EC3673" w14:paraId="1C26CACD" w14:textId="77777777" w:rsidTr="005B33BB">
        <w:trPr>
          <w:cantSplit/>
        </w:trPr>
        <w:tc>
          <w:tcPr>
            <w:tcW w:w="3034" w:type="dxa"/>
            <w:shd w:val="clear" w:color="auto" w:fill="FFFFFF"/>
            <w:vAlign w:val="center"/>
          </w:tcPr>
          <w:p w14:paraId="4DEC14EF" w14:textId="77777777" w:rsidR="00DD4CCD" w:rsidRPr="00013722" w:rsidRDefault="00DD4CCD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 xml:space="preserve">Peer Review Evaluation </w:t>
            </w:r>
          </w:p>
        </w:tc>
        <w:tc>
          <w:tcPr>
            <w:tcW w:w="6732" w:type="dxa"/>
            <w:shd w:val="clear" w:color="auto" w:fill="FFFFFF"/>
            <w:vAlign w:val="center"/>
          </w:tcPr>
          <w:p w14:paraId="74EBFBC6" w14:textId="5FC8A1BC" w:rsidR="00DD4CCD" w:rsidRPr="00013722" w:rsidRDefault="00C41D39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>
              <w:rPr>
                <w:rFonts w:ascii="OpenSans-Regular" w:hAnsi="OpenSans-Regular" w:cs="Arial"/>
                <w:color w:val="4D4D4D"/>
                <w:sz w:val="24"/>
              </w:rPr>
              <w:t>Agree with assessor’s recommendation</w:t>
            </w:r>
          </w:p>
        </w:tc>
      </w:tr>
      <w:tr w:rsidR="00DD4CCD" w:rsidRPr="00EC3673" w14:paraId="127230F4" w14:textId="77777777" w:rsidTr="005B33BB">
        <w:trPr>
          <w:cantSplit/>
        </w:trPr>
        <w:tc>
          <w:tcPr>
            <w:tcW w:w="3034" w:type="dxa"/>
            <w:shd w:val="clear" w:color="auto" w:fill="FFFFFF"/>
            <w:vAlign w:val="center"/>
          </w:tcPr>
          <w:p w14:paraId="173ED54B" w14:textId="77777777" w:rsidR="00DD4CCD" w:rsidRPr="00013722" w:rsidRDefault="00DD4CCD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 w:rsidRPr="00013722">
              <w:rPr>
                <w:rFonts w:ascii="OpenSans-Regular" w:hAnsi="OpenSans-Regular" w:cs="Arial"/>
                <w:color w:val="4D4D4D"/>
                <w:sz w:val="24"/>
              </w:rPr>
              <w:t>Recommendation</w:t>
            </w:r>
          </w:p>
        </w:tc>
        <w:tc>
          <w:tcPr>
            <w:tcW w:w="6732" w:type="dxa"/>
            <w:shd w:val="clear" w:color="auto" w:fill="FFFFFF"/>
            <w:vAlign w:val="center"/>
          </w:tcPr>
          <w:p w14:paraId="60896846" w14:textId="5EBB07C4" w:rsidR="00DD4CCD" w:rsidRPr="00013722" w:rsidRDefault="003E3805" w:rsidP="005B33BB">
            <w:pPr>
              <w:pStyle w:val="Heading2"/>
              <w:spacing w:before="0"/>
              <w:rPr>
                <w:rFonts w:ascii="OpenSans-Regular" w:hAnsi="OpenSans-Regular" w:cs="Arial"/>
                <w:color w:val="4D4D4D"/>
                <w:sz w:val="24"/>
              </w:rPr>
            </w:pPr>
            <w:r>
              <w:rPr>
                <w:rFonts w:ascii="OpenSans-Regular" w:hAnsi="OpenSans-Regular" w:cs="Arial"/>
                <w:color w:val="4D4D4D"/>
                <w:sz w:val="24"/>
              </w:rPr>
              <w:t>Approved</w:t>
            </w:r>
          </w:p>
        </w:tc>
      </w:tr>
    </w:tbl>
    <w:p w14:paraId="128E361E" w14:textId="77777777" w:rsidR="00F97CB0" w:rsidRPr="00556D43" w:rsidRDefault="00F97CB0" w:rsidP="00E33EB0">
      <w:pPr>
        <w:rPr>
          <w:rFonts w:ascii="OpenSans-Regular" w:hAnsi="OpenSans-Regular"/>
        </w:rPr>
      </w:pPr>
    </w:p>
    <w:p w14:paraId="0353C3E1" w14:textId="5071B79E" w:rsidR="00716C61" w:rsidRPr="004771F3" w:rsidRDefault="00716C61" w:rsidP="00716C61">
      <w:pPr>
        <w:pStyle w:val="Caption"/>
        <w:keepNext/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</w:pPr>
      <w:r w:rsidRPr="004771F3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t xml:space="preserve">Table </w:t>
      </w:r>
      <w:r w:rsidRPr="004771F3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fldChar w:fldCharType="begin"/>
      </w:r>
      <w:r w:rsidRPr="004771F3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instrText xml:space="preserve"> SEQ Table \* ARABIC </w:instrText>
      </w:r>
      <w:r w:rsidRPr="004771F3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fldChar w:fldCharType="separate"/>
      </w:r>
      <w:r w:rsidR="00A624A8">
        <w:rPr>
          <w:rFonts w:ascii="OpenSans-Regular" w:hAnsi="OpenSans-Regular" w:cs="OpenSans-Regular"/>
          <w:b w:val="0"/>
          <w:smallCaps w:val="0"/>
          <w:noProof/>
          <w:color w:val="005A91"/>
          <w:spacing w:val="0"/>
          <w:sz w:val="36"/>
          <w:szCs w:val="36"/>
          <w:lang w:eastAsia="zh-CN"/>
        </w:rPr>
        <w:t>2</w:t>
      </w:r>
      <w:r w:rsidRPr="004771F3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fldChar w:fldCharType="end"/>
      </w:r>
      <w:r w:rsidRPr="004771F3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t>. Assessment Determination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4B73DF" w:rsidRPr="00556D43" w14:paraId="5F6A20BB" w14:textId="77777777" w:rsidTr="004771F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2B8"/>
          </w:tcPr>
          <w:p w14:paraId="50EE4216" w14:textId="77777777" w:rsidR="004B73DF" w:rsidRPr="004771F3" w:rsidRDefault="004B73DF">
            <w:pPr>
              <w:rPr>
                <w:rFonts w:ascii="OpenSans-Regular" w:hAnsi="OpenSans-Regular"/>
                <w:b/>
                <w:color w:val="4D4D4D"/>
              </w:rPr>
            </w:pPr>
            <w:r w:rsidRPr="004771F3">
              <w:rPr>
                <w:rFonts w:ascii="OpenSans-Regular" w:hAnsi="OpenSans-Regular"/>
                <w:b/>
                <w:color w:val="4D4D4D"/>
              </w:rPr>
              <w:t>Assessment Determination</w:t>
            </w:r>
          </w:p>
        </w:tc>
      </w:tr>
      <w:tr w:rsidR="004B73DF" w:rsidRPr="00556D43" w14:paraId="7C410531" w14:textId="77777777" w:rsidTr="004771F3">
        <w:trPr>
          <w:trHeight w:val="1483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6EFC" w14:textId="0898E80D" w:rsidR="00AB682D" w:rsidRDefault="00AB682D" w:rsidP="00AB682D">
            <w:pPr>
              <w:jc w:val="both"/>
              <w:rPr>
                <w:rFonts w:ascii="OpenSans-Regular" w:hAnsi="OpenSans-Regular"/>
                <w:color w:val="4D4D4D"/>
              </w:rPr>
            </w:pPr>
            <w:r w:rsidRPr="00AB682D">
              <w:rPr>
                <w:rFonts w:ascii="OpenSans-Regular" w:hAnsi="OpenSans-Regular"/>
                <w:color w:val="4D4D4D"/>
              </w:rPr>
              <w:t>If any species is categorised as Endangered or Critically Endangered on</w:t>
            </w:r>
            <w:r w:rsidR="003E3805">
              <w:t xml:space="preserve"> </w:t>
            </w:r>
            <w:r w:rsidR="003E3805" w:rsidRPr="003E3805">
              <w:rPr>
                <w:rFonts w:ascii="OpenSans-Regular" w:hAnsi="OpenSans-Regular"/>
                <w:color w:val="4D4D4D"/>
              </w:rPr>
              <w:t>Union for Conservation of Nature's Red List of Threatened Species</w:t>
            </w:r>
            <w:r w:rsidR="003E3805">
              <w:rPr>
                <w:rFonts w:ascii="OpenSans-Regular" w:hAnsi="OpenSans-Regular"/>
                <w:color w:val="4D4D4D"/>
              </w:rPr>
              <w:t xml:space="preserve"> -</w:t>
            </w:r>
            <w:r w:rsidRPr="00AB682D">
              <w:rPr>
                <w:rFonts w:ascii="OpenSans-Regular" w:hAnsi="OpenSans-Regular"/>
                <w:color w:val="4D4D4D"/>
              </w:rPr>
              <w:t xml:space="preserve"> IUCN’s Red List, or if it appears in the </w:t>
            </w:r>
            <w:r w:rsidR="003E3805" w:rsidRPr="003E3805">
              <w:rPr>
                <w:rFonts w:ascii="OpenSans-Regular" w:hAnsi="OpenSans-Regular"/>
                <w:color w:val="4D4D4D"/>
              </w:rPr>
              <w:t>Convention on International Trade in Endangered Species of Wild Fauna and Flora -</w:t>
            </w:r>
            <w:r w:rsidR="003E3805">
              <w:rPr>
                <w:rFonts w:ascii="OpenSans-Regular" w:hAnsi="OpenSans-Regular"/>
                <w:color w:val="4D4D4D"/>
              </w:rPr>
              <w:t xml:space="preserve"> </w:t>
            </w:r>
            <w:r w:rsidRPr="00AB682D">
              <w:rPr>
                <w:rFonts w:ascii="OpenSans-Regular" w:hAnsi="OpenSans-Regular"/>
                <w:color w:val="4D4D4D"/>
              </w:rPr>
              <w:t xml:space="preserve">CITES appendices, it cannot be approved for use as Marin </w:t>
            </w:r>
            <w:r w:rsidR="003E3805">
              <w:rPr>
                <w:rFonts w:ascii="OpenSans-Regular" w:hAnsi="OpenSans-Regular"/>
                <w:color w:val="4D4D4D"/>
              </w:rPr>
              <w:t>T</w:t>
            </w:r>
            <w:r w:rsidRPr="00AB682D">
              <w:rPr>
                <w:rFonts w:ascii="OpenSans-Regular" w:hAnsi="OpenSans-Regular"/>
                <w:color w:val="4D4D4D"/>
              </w:rPr>
              <w:t>rust raw material. White anglerfish (</w:t>
            </w:r>
            <w:r w:rsidRPr="003E3805">
              <w:rPr>
                <w:rFonts w:ascii="OpenSans-Regular" w:hAnsi="OpenSans-Regular"/>
                <w:i/>
                <w:iCs/>
                <w:color w:val="4D4D4D"/>
              </w:rPr>
              <w:t xml:space="preserve">Lophius </w:t>
            </w:r>
            <w:proofErr w:type="spellStart"/>
            <w:r w:rsidRPr="003E3805">
              <w:rPr>
                <w:rFonts w:ascii="OpenSans-Regular" w:hAnsi="OpenSans-Regular"/>
                <w:i/>
                <w:iCs/>
                <w:color w:val="4D4D4D"/>
              </w:rPr>
              <w:t>piscatorius</w:t>
            </w:r>
            <w:proofErr w:type="spellEnd"/>
            <w:r w:rsidRPr="003E3805">
              <w:rPr>
                <w:rFonts w:ascii="OpenSans-Regular" w:hAnsi="OpenSans-Regular"/>
                <w:i/>
                <w:iCs/>
                <w:color w:val="4D4D4D"/>
              </w:rPr>
              <w:t>)</w:t>
            </w:r>
            <w:r w:rsidRPr="00AB682D">
              <w:rPr>
                <w:rFonts w:ascii="OpenSans-Regular" w:hAnsi="OpenSans-Regular"/>
                <w:color w:val="4D4D4D"/>
              </w:rPr>
              <w:t xml:space="preserve"> </w:t>
            </w:r>
            <w:r w:rsidR="003E3805" w:rsidRPr="003E3805">
              <w:rPr>
                <w:rFonts w:ascii="OpenSans-Regular" w:hAnsi="OpenSans-Regular"/>
                <w:color w:val="4D4D4D"/>
              </w:rPr>
              <w:t xml:space="preserve">is </w:t>
            </w:r>
            <w:r w:rsidR="003E3805">
              <w:rPr>
                <w:rFonts w:ascii="OpenSans-Regular" w:hAnsi="OpenSans-Regular"/>
                <w:color w:val="4D4D4D"/>
              </w:rPr>
              <w:t xml:space="preserve">not </w:t>
            </w:r>
            <w:r w:rsidR="003E3805" w:rsidRPr="003E3805">
              <w:rPr>
                <w:rFonts w:ascii="OpenSans-Regular" w:hAnsi="OpenSans-Regular"/>
                <w:color w:val="4D4D4D"/>
              </w:rPr>
              <w:t>categorised</w:t>
            </w:r>
            <w:r w:rsidR="003E3805">
              <w:rPr>
                <w:rFonts w:ascii="OpenSans-Regular" w:hAnsi="OpenSans-Regular"/>
                <w:color w:val="4D4D4D"/>
              </w:rPr>
              <w:t xml:space="preserve"> </w:t>
            </w:r>
            <w:r w:rsidRPr="00AB682D">
              <w:rPr>
                <w:rFonts w:ascii="OpenSans-Regular" w:hAnsi="OpenSans-Regular"/>
                <w:color w:val="4D4D4D"/>
              </w:rPr>
              <w:t>as Endangered or Critically Endangered on IUCN’s Red List</w:t>
            </w:r>
            <w:r w:rsidR="003E3805">
              <w:rPr>
                <w:rFonts w:ascii="OpenSans-Regular" w:hAnsi="OpenSans-Regular"/>
                <w:color w:val="4D4D4D"/>
              </w:rPr>
              <w:t xml:space="preserve"> and does not</w:t>
            </w:r>
            <w:r w:rsidRPr="00AB682D">
              <w:rPr>
                <w:rFonts w:ascii="OpenSans-Regular" w:hAnsi="OpenSans-Regular"/>
                <w:color w:val="4D4D4D"/>
              </w:rPr>
              <w:t xml:space="preserve"> appear in CITES appendices; therefore, </w:t>
            </w:r>
            <w:r w:rsidRPr="003E3805">
              <w:rPr>
                <w:rFonts w:ascii="OpenSans-Regular" w:hAnsi="OpenSans-Regular"/>
                <w:i/>
                <w:iCs/>
                <w:color w:val="4D4D4D"/>
              </w:rPr>
              <w:t xml:space="preserve">Lophius </w:t>
            </w:r>
            <w:proofErr w:type="spellStart"/>
            <w:r w:rsidRPr="003E3805">
              <w:rPr>
                <w:rFonts w:ascii="OpenSans-Regular" w:hAnsi="OpenSans-Regular"/>
                <w:i/>
                <w:iCs/>
                <w:color w:val="4D4D4D"/>
              </w:rPr>
              <w:t>piscatorius</w:t>
            </w:r>
            <w:proofErr w:type="spellEnd"/>
            <w:r w:rsidRPr="00AB682D">
              <w:rPr>
                <w:rFonts w:ascii="OpenSans-Regular" w:hAnsi="OpenSans-Regular"/>
                <w:color w:val="4D4D4D"/>
              </w:rPr>
              <w:t xml:space="preserve"> is eligible for approval for use as Marin </w:t>
            </w:r>
            <w:r w:rsidR="003E3805">
              <w:rPr>
                <w:rFonts w:ascii="OpenSans-Regular" w:hAnsi="OpenSans-Regular"/>
                <w:color w:val="4D4D4D"/>
              </w:rPr>
              <w:t>T</w:t>
            </w:r>
            <w:r w:rsidRPr="00AB682D">
              <w:rPr>
                <w:rFonts w:ascii="OpenSans-Regular" w:hAnsi="OpenSans-Regular"/>
                <w:color w:val="4D4D4D"/>
              </w:rPr>
              <w:t>rust by-product raw material.</w:t>
            </w:r>
          </w:p>
          <w:p w14:paraId="226B1F97" w14:textId="77777777" w:rsidR="00015E66" w:rsidRPr="00AB682D" w:rsidRDefault="00015E66" w:rsidP="00AB682D">
            <w:pPr>
              <w:jc w:val="both"/>
              <w:rPr>
                <w:rFonts w:ascii="OpenSans-Regular" w:hAnsi="OpenSans-Regular"/>
                <w:color w:val="4D4D4D"/>
              </w:rPr>
            </w:pPr>
          </w:p>
          <w:p w14:paraId="4D2CA6B8" w14:textId="77777777" w:rsidR="00AB682D" w:rsidRDefault="00AB682D" w:rsidP="00AB682D">
            <w:pPr>
              <w:jc w:val="both"/>
              <w:rPr>
                <w:rFonts w:ascii="OpenSans-Regular" w:hAnsi="OpenSans-Regular"/>
                <w:color w:val="4D4D4D"/>
              </w:rPr>
            </w:pPr>
            <w:r w:rsidRPr="00AB682D">
              <w:rPr>
                <w:rFonts w:ascii="OpenSans-Regular" w:hAnsi="OpenSans-Regular"/>
                <w:color w:val="4D4D4D"/>
              </w:rPr>
              <w:t>There is an EU multiannual management plan (EU MAP) adopted for this stock. Reference points are defined for the anglerfish stock, therefore it was assessed under Category C.</w:t>
            </w:r>
          </w:p>
          <w:p w14:paraId="7536E916" w14:textId="77777777" w:rsidR="00015E66" w:rsidRPr="00AB682D" w:rsidRDefault="00015E66" w:rsidP="00AB682D">
            <w:pPr>
              <w:jc w:val="both"/>
              <w:rPr>
                <w:rFonts w:ascii="OpenSans-Regular" w:hAnsi="OpenSans-Regular"/>
                <w:color w:val="4D4D4D"/>
              </w:rPr>
            </w:pPr>
          </w:p>
          <w:p w14:paraId="4504AD45" w14:textId="798155FF" w:rsidR="00AB682D" w:rsidRDefault="00AB682D" w:rsidP="00AB682D">
            <w:pPr>
              <w:jc w:val="both"/>
              <w:rPr>
                <w:rFonts w:ascii="OpenSans-Regular" w:hAnsi="OpenSans-Regular"/>
                <w:color w:val="4D4D4D"/>
              </w:rPr>
            </w:pPr>
            <w:r w:rsidRPr="00AB682D">
              <w:rPr>
                <w:rFonts w:ascii="OpenSans-Regular" w:hAnsi="OpenSans-Regular"/>
                <w:color w:val="4D4D4D"/>
              </w:rPr>
              <w:t xml:space="preserve">Fishery removals are included in the stock </w:t>
            </w:r>
            <w:proofErr w:type="gramStart"/>
            <w:r w:rsidRPr="00AB682D">
              <w:rPr>
                <w:rFonts w:ascii="OpenSans-Regular" w:hAnsi="OpenSans-Regular"/>
                <w:color w:val="4D4D4D"/>
              </w:rPr>
              <w:t>assessment</w:t>
            </w:r>
            <w:proofErr w:type="gramEnd"/>
            <w:r w:rsidRPr="00AB682D">
              <w:rPr>
                <w:rFonts w:ascii="OpenSans-Regular" w:hAnsi="OpenSans-Regular"/>
                <w:color w:val="4D4D4D"/>
              </w:rPr>
              <w:t xml:space="preserve"> and it PASSES Clause C1.1. The stock is considered</w:t>
            </w:r>
            <w:r w:rsidR="003E3805">
              <w:rPr>
                <w:rFonts w:ascii="OpenSans-Regular" w:hAnsi="OpenSans-Regular"/>
                <w:color w:val="4D4D4D"/>
              </w:rPr>
              <w:t>,</w:t>
            </w:r>
            <w:r w:rsidRPr="00AB682D">
              <w:rPr>
                <w:rFonts w:ascii="OpenSans-Regular" w:hAnsi="OpenSans-Regular"/>
                <w:color w:val="4D4D4D"/>
              </w:rPr>
              <w:t xml:space="preserve"> in its most recent stock assessment</w:t>
            </w:r>
            <w:r w:rsidR="003E3805">
              <w:rPr>
                <w:rFonts w:ascii="OpenSans-Regular" w:hAnsi="OpenSans-Regular"/>
                <w:color w:val="4D4D4D"/>
              </w:rPr>
              <w:t xml:space="preserve"> (June 2023)</w:t>
            </w:r>
            <w:r w:rsidRPr="00AB682D">
              <w:rPr>
                <w:rFonts w:ascii="OpenSans-Regular" w:hAnsi="OpenSans-Regular"/>
                <w:color w:val="4D4D4D"/>
              </w:rPr>
              <w:t>, to have biomass above the limit reference point, it PASSES Clause C1.2.</w:t>
            </w:r>
          </w:p>
          <w:p w14:paraId="448F523C" w14:textId="77777777" w:rsidR="00015E66" w:rsidRPr="00AB682D" w:rsidRDefault="00015E66" w:rsidP="00AB682D">
            <w:pPr>
              <w:jc w:val="both"/>
              <w:rPr>
                <w:rFonts w:ascii="OpenSans-Regular" w:hAnsi="OpenSans-Regular"/>
                <w:color w:val="4D4D4D"/>
              </w:rPr>
            </w:pPr>
          </w:p>
          <w:p w14:paraId="2DDFC2CD" w14:textId="26737797" w:rsidR="00993715" w:rsidRPr="004771F3" w:rsidRDefault="00AB682D" w:rsidP="00AB682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 w:rsidRPr="00AB682D">
              <w:rPr>
                <w:rFonts w:ascii="OpenSans-Regular" w:hAnsi="OpenSans-Regular"/>
                <w:color w:val="4D4D4D"/>
              </w:rPr>
              <w:t xml:space="preserve">Therefore, Celtic Seas and Bay of Biscay white anglerfish is APPROVED </w:t>
            </w:r>
            <w:proofErr w:type="gramStart"/>
            <w:r w:rsidRPr="00AB682D">
              <w:rPr>
                <w:rFonts w:ascii="OpenSans-Regular" w:hAnsi="OpenSans-Regular"/>
                <w:color w:val="4D4D4D"/>
              </w:rPr>
              <w:t>for the production of</w:t>
            </w:r>
            <w:proofErr w:type="gramEnd"/>
            <w:r w:rsidRPr="00AB682D">
              <w:rPr>
                <w:rFonts w:ascii="OpenSans-Regular" w:hAnsi="OpenSans-Regular"/>
                <w:color w:val="4D4D4D"/>
              </w:rPr>
              <w:t xml:space="preserve"> fishmeal and fish oil under the current Marin</w:t>
            </w:r>
            <w:r w:rsidR="003E3805">
              <w:rPr>
                <w:rFonts w:ascii="OpenSans-Regular" w:hAnsi="OpenSans-Regular"/>
                <w:color w:val="4D4D4D"/>
              </w:rPr>
              <w:t xml:space="preserve"> </w:t>
            </w:r>
            <w:r w:rsidRPr="00AB682D">
              <w:rPr>
                <w:rFonts w:ascii="OpenSans-Regular" w:hAnsi="OpenSans-Regular"/>
                <w:color w:val="4D4D4D"/>
              </w:rPr>
              <w:t>Trust v2.</w:t>
            </w:r>
            <w:r w:rsidR="003E3805">
              <w:rPr>
                <w:rFonts w:ascii="OpenSans-Regular" w:hAnsi="OpenSans-Regular"/>
                <w:color w:val="4D4D4D"/>
              </w:rPr>
              <w:t>3</w:t>
            </w:r>
            <w:r w:rsidRPr="00AB682D">
              <w:rPr>
                <w:rFonts w:ascii="OpenSans-Regular" w:hAnsi="OpenSans-Regular"/>
                <w:color w:val="4D4D4D"/>
              </w:rPr>
              <w:t xml:space="preserve"> by-products.</w:t>
            </w:r>
          </w:p>
        </w:tc>
      </w:tr>
      <w:tr w:rsidR="004B73DF" w:rsidRPr="00556D43" w14:paraId="3E8CFC26" w14:textId="77777777" w:rsidTr="004771F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2B8"/>
          </w:tcPr>
          <w:p w14:paraId="65711705" w14:textId="29413886" w:rsidR="004B73DF" w:rsidRPr="004771F3" w:rsidRDefault="00B918DC">
            <w:pPr>
              <w:rPr>
                <w:rFonts w:ascii="OpenSans-Regular" w:hAnsi="OpenSans-Regular"/>
                <w:b/>
                <w:color w:val="4D4D4D"/>
              </w:rPr>
            </w:pPr>
            <w:r w:rsidRPr="004771F3">
              <w:rPr>
                <w:rFonts w:ascii="OpenSans-Regular" w:hAnsi="OpenSans-Regular"/>
                <w:b/>
                <w:color w:val="4D4D4D"/>
              </w:rPr>
              <w:t>F</w:t>
            </w:r>
            <w:r w:rsidR="00104712" w:rsidRPr="004771F3">
              <w:rPr>
                <w:rFonts w:ascii="OpenSans-Regular" w:hAnsi="OpenSans-Regular"/>
                <w:b/>
                <w:color w:val="4D4D4D"/>
              </w:rPr>
              <w:t xml:space="preserve">ishery Assessment </w:t>
            </w:r>
            <w:r w:rsidR="004B73DF" w:rsidRPr="004771F3">
              <w:rPr>
                <w:rFonts w:ascii="OpenSans-Regular" w:hAnsi="OpenSans-Regular"/>
                <w:b/>
                <w:color w:val="4D4D4D"/>
              </w:rPr>
              <w:t>Peer Review Comments</w:t>
            </w:r>
          </w:p>
        </w:tc>
      </w:tr>
      <w:tr w:rsidR="004B73DF" w:rsidRPr="00556D43" w14:paraId="67FA09D8" w14:textId="77777777" w:rsidTr="004771F3">
        <w:trPr>
          <w:trHeight w:val="1693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E16" w14:textId="42DD8710" w:rsidR="00C41D39" w:rsidRDefault="00C41D39" w:rsidP="00C41D39">
            <w:pPr>
              <w:spacing w:line="276" w:lineRule="auto"/>
              <w:jc w:val="both"/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t xml:space="preserve">The assessor correctly classified </w:t>
            </w:r>
            <w:r w:rsidRPr="00C41D39">
              <w:rPr>
                <w:rFonts w:ascii="OpenSans-Regular" w:hAnsi="OpenSans-Regular"/>
                <w:color w:val="4D4D4D"/>
              </w:rPr>
              <w:t xml:space="preserve">White anglerfish in </w:t>
            </w:r>
            <w:r>
              <w:rPr>
                <w:rFonts w:ascii="OpenSans-Regular" w:hAnsi="OpenSans-Regular"/>
                <w:color w:val="4D4D4D"/>
              </w:rPr>
              <w:t>s</w:t>
            </w:r>
            <w:r w:rsidRPr="00C41D39">
              <w:rPr>
                <w:rFonts w:ascii="OpenSans-Regular" w:hAnsi="OpenSans-Regular"/>
                <w:color w:val="4D4D4D"/>
              </w:rPr>
              <w:t xml:space="preserve">ubarea 7 b-k and </w:t>
            </w:r>
            <w:r>
              <w:rPr>
                <w:rFonts w:ascii="OpenSans-Regular" w:hAnsi="OpenSans-Regular"/>
                <w:color w:val="4D4D4D"/>
              </w:rPr>
              <w:t>d</w:t>
            </w:r>
            <w:r w:rsidRPr="00C41D39">
              <w:rPr>
                <w:rFonts w:ascii="OpenSans-Regular" w:hAnsi="OpenSans-Regular"/>
                <w:color w:val="4D4D4D"/>
              </w:rPr>
              <w:t>ivisions 8.a-b and 8.d (Celtics Bay, Bay of Biscay)</w:t>
            </w:r>
            <w:r>
              <w:rPr>
                <w:rFonts w:ascii="OpenSans-Regular" w:hAnsi="OpenSans-Regular"/>
                <w:color w:val="4D4D4D"/>
              </w:rPr>
              <w:t xml:space="preserve"> as Category C, the stock is subject to a specific management regime and reference points are defined.</w:t>
            </w:r>
          </w:p>
          <w:p w14:paraId="5C2D26E2" w14:textId="77777777" w:rsidR="00C41D39" w:rsidRDefault="00C41D39" w:rsidP="00C41D39">
            <w:pPr>
              <w:spacing w:line="276" w:lineRule="auto"/>
              <w:jc w:val="both"/>
              <w:rPr>
                <w:rFonts w:ascii="OpenSans-Regular" w:hAnsi="OpenSans-Regular"/>
                <w:color w:val="4D4D4D"/>
              </w:rPr>
            </w:pPr>
          </w:p>
          <w:p w14:paraId="4B39A496" w14:textId="77777777" w:rsidR="00C41D39" w:rsidRDefault="00C41D39" w:rsidP="00C41D39">
            <w:pPr>
              <w:spacing w:line="276" w:lineRule="auto"/>
              <w:jc w:val="both"/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t xml:space="preserve">Fishery removals are considered in the stock assessment process. The most recent stock assessment shows that the stock is above MSY </w:t>
            </w:r>
            <w:proofErr w:type="spellStart"/>
            <w:r>
              <w:rPr>
                <w:rFonts w:ascii="OpenSans-Regular" w:hAnsi="OpenSans-Regular"/>
                <w:color w:val="4D4D4D"/>
              </w:rPr>
              <w:t>B</w:t>
            </w:r>
            <w:r>
              <w:rPr>
                <w:rFonts w:ascii="OpenSans-Regular" w:hAnsi="OpenSans-Regular"/>
                <w:color w:val="4D4D4D"/>
                <w:vertAlign w:val="subscript"/>
              </w:rPr>
              <w:t>trigger</w:t>
            </w:r>
            <w:proofErr w:type="spellEnd"/>
            <w:r>
              <w:rPr>
                <w:rFonts w:ascii="OpenSans-Regular" w:hAnsi="OpenSans-Regular"/>
                <w:color w:val="4D4D4D"/>
              </w:rPr>
              <w:t xml:space="preserve">, </w:t>
            </w:r>
            <w:proofErr w:type="spellStart"/>
            <w:r>
              <w:rPr>
                <w:rFonts w:ascii="OpenSans-Regular" w:hAnsi="OpenSans-Regular"/>
                <w:color w:val="4D4D4D"/>
              </w:rPr>
              <w:t>B</w:t>
            </w:r>
            <w:r>
              <w:rPr>
                <w:rFonts w:ascii="OpenSans-Regular" w:hAnsi="OpenSans-Regular"/>
                <w:color w:val="4D4D4D"/>
                <w:vertAlign w:val="subscript"/>
              </w:rPr>
              <w:t>pa</w:t>
            </w:r>
            <w:proofErr w:type="spellEnd"/>
            <w:r>
              <w:rPr>
                <w:rFonts w:ascii="OpenSans-Regular" w:hAnsi="OpenSans-Regular"/>
                <w:color w:val="4D4D4D"/>
              </w:rPr>
              <w:t xml:space="preserve">, and </w:t>
            </w:r>
            <w:proofErr w:type="spellStart"/>
            <w:r>
              <w:rPr>
                <w:rFonts w:ascii="OpenSans-Regular" w:hAnsi="OpenSans-Regular"/>
                <w:color w:val="4D4D4D"/>
              </w:rPr>
              <w:t>B</w:t>
            </w:r>
            <w:r>
              <w:rPr>
                <w:rFonts w:ascii="OpenSans-Regular" w:hAnsi="OpenSans-Regular"/>
                <w:color w:val="4D4D4D"/>
                <w:vertAlign w:val="subscript"/>
              </w:rPr>
              <w:t>lim</w:t>
            </w:r>
            <w:proofErr w:type="spellEnd"/>
            <w:r>
              <w:rPr>
                <w:rFonts w:ascii="OpenSans-Regular" w:hAnsi="OpenSans-Regular"/>
                <w:color w:val="4D4D4D"/>
              </w:rPr>
              <w:t>.  Therefore, the stock is considered to have biomass above the limit reference point.</w:t>
            </w:r>
          </w:p>
          <w:p w14:paraId="7D6BEB53" w14:textId="77777777" w:rsidR="00C41D39" w:rsidRDefault="00C41D39" w:rsidP="00C41D39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</w:p>
          <w:p w14:paraId="41B215C5" w14:textId="3B4A343B" w:rsidR="004B73DF" w:rsidRPr="004771F3" w:rsidRDefault="00C41D39" w:rsidP="00C41D39">
            <w:pPr>
              <w:spacing w:after="120" w:line="276" w:lineRule="auto"/>
              <w:jc w:val="both"/>
              <w:rPr>
                <w:rFonts w:ascii="OpenSans-Regular" w:hAnsi="OpenSans-Regular"/>
                <w:color w:val="4D4D4D"/>
              </w:rPr>
            </w:pPr>
            <w:r w:rsidRPr="00C41D39">
              <w:rPr>
                <w:rFonts w:ascii="OpenSans-Regular" w:hAnsi="OpenSans-Regular"/>
                <w:color w:val="4D4D4D"/>
              </w:rPr>
              <w:t xml:space="preserve">White anglerfish in </w:t>
            </w:r>
            <w:r>
              <w:rPr>
                <w:rFonts w:ascii="OpenSans-Regular" w:hAnsi="OpenSans-Regular"/>
                <w:color w:val="4D4D4D"/>
              </w:rPr>
              <w:t>s</w:t>
            </w:r>
            <w:r w:rsidRPr="00C41D39">
              <w:rPr>
                <w:rFonts w:ascii="OpenSans-Regular" w:hAnsi="OpenSans-Regular"/>
                <w:color w:val="4D4D4D"/>
              </w:rPr>
              <w:t xml:space="preserve">ubarea 7 b-k and </w:t>
            </w:r>
            <w:r>
              <w:rPr>
                <w:rFonts w:ascii="OpenSans-Regular" w:hAnsi="OpenSans-Regular"/>
                <w:color w:val="4D4D4D"/>
              </w:rPr>
              <w:t>d</w:t>
            </w:r>
            <w:r w:rsidRPr="00C41D39">
              <w:rPr>
                <w:rFonts w:ascii="OpenSans-Regular" w:hAnsi="OpenSans-Regular"/>
                <w:color w:val="4D4D4D"/>
              </w:rPr>
              <w:t>ivisions 8.a-b and 8.d (Celtics Bay, Bay of Biscay)</w:t>
            </w:r>
            <w:r>
              <w:rPr>
                <w:rFonts w:ascii="OpenSans-Regular" w:hAnsi="OpenSans-Regular"/>
                <w:color w:val="4D4D4D"/>
              </w:rPr>
              <w:t xml:space="preserve"> passes both clauses (C1.1 and C1.2) and therefore should be approved under the </w:t>
            </w:r>
            <w:proofErr w:type="spellStart"/>
            <w:r>
              <w:rPr>
                <w:rFonts w:ascii="OpenSans-Regular" w:hAnsi="OpenSans-Regular"/>
                <w:color w:val="4D4D4D"/>
              </w:rPr>
              <w:t>MarinTrust</w:t>
            </w:r>
            <w:proofErr w:type="spellEnd"/>
            <w:r>
              <w:rPr>
                <w:rFonts w:ascii="OpenSans-Regular" w:hAnsi="OpenSans-Regular"/>
                <w:color w:val="4D4D4D"/>
              </w:rPr>
              <w:t xml:space="preserve"> Standard v.2.</w:t>
            </w:r>
          </w:p>
        </w:tc>
      </w:tr>
      <w:tr w:rsidR="004B73DF" w:rsidRPr="00556D43" w14:paraId="27ABC4C1" w14:textId="77777777" w:rsidTr="004771F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2B8"/>
          </w:tcPr>
          <w:p w14:paraId="7E589728" w14:textId="77777777" w:rsidR="004B73DF" w:rsidRPr="004771F3" w:rsidRDefault="004B73DF">
            <w:pPr>
              <w:rPr>
                <w:rFonts w:ascii="OpenSans-Regular" w:hAnsi="OpenSans-Regular"/>
                <w:b/>
                <w:color w:val="4D4D4D"/>
              </w:rPr>
            </w:pPr>
            <w:r w:rsidRPr="004771F3">
              <w:rPr>
                <w:rFonts w:ascii="OpenSans-Regular" w:hAnsi="OpenSans-Regular"/>
                <w:b/>
                <w:color w:val="4D4D4D"/>
              </w:rPr>
              <w:t>Notes for On-site Auditor</w:t>
            </w:r>
          </w:p>
        </w:tc>
      </w:tr>
      <w:tr w:rsidR="004B73DF" w:rsidRPr="00556D43" w14:paraId="44E42343" w14:textId="77777777" w:rsidTr="004771F3">
        <w:trPr>
          <w:trHeight w:val="1990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19E" w14:textId="29A28640" w:rsidR="00C14244" w:rsidRPr="004771F3" w:rsidRDefault="00C41D39" w:rsidP="00C14244">
            <w:pPr>
              <w:spacing w:after="120" w:line="276" w:lineRule="auto"/>
              <w:jc w:val="both"/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lastRenderedPageBreak/>
              <w:t>N/A</w:t>
            </w:r>
          </w:p>
        </w:tc>
      </w:tr>
    </w:tbl>
    <w:p w14:paraId="7F29AB82" w14:textId="20A3D026" w:rsidR="00EC402B" w:rsidRDefault="00EC402B">
      <w:pPr>
        <w:rPr>
          <w:rFonts w:ascii="OpenSans-Regular" w:hAnsi="OpenSans-Regular"/>
        </w:rPr>
      </w:pPr>
      <w:r w:rsidRPr="00556D43">
        <w:rPr>
          <w:rFonts w:ascii="OpenSans-Regular" w:hAnsi="OpenSans-Regular"/>
        </w:rPr>
        <w:br w:type="page"/>
      </w:r>
    </w:p>
    <w:p w14:paraId="4775016B" w14:textId="77777777" w:rsidR="00556D43" w:rsidRPr="00556D43" w:rsidRDefault="00556D43">
      <w:pPr>
        <w:rPr>
          <w:rFonts w:ascii="OpenSans-Regular" w:hAnsi="OpenSans-Regular"/>
        </w:rPr>
      </w:pPr>
    </w:p>
    <w:p w14:paraId="04E82EC4" w14:textId="2B32CA98" w:rsidR="00716C61" w:rsidRPr="004771F3" w:rsidRDefault="003A500C" w:rsidP="00716C61">
      <w:pPr>
        <w:pStyle w:val="Caption"/>
        <w:keepNext/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</w:pPr>
      <w:r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t>Species Categorisation</w:t>
      </w:r>
    </w:p>
    <w:p w14:paraId="348CE011" w14:textId="2166842A" w:rsidR="002449C0" w:rsidRDefault="002449C0" w:rsidP="002449C0">
      <w:pPr>
        <w:pStyle w:val="Default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  <w:r w:rsidRPr="002449C0">
        <w:rPr>
          <w:rFonts w:ascii="OpenSans-Regular" w:hAnsi="OpenSans-Regular" w:cstheme="minorBidi"/>
          <w:b/>
          <w:bCs/>
          <w:color w:val="4D4D4D"/>
          <w:sz w:val="20"/>
          <w:szCs w:val="20"/>
          <w:lang w:val="en-GB"/>
        </w:rPr>
        <w:t>NB:</w:t>
      </w: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 If any species is categorised as Endangered or Critically Endangered on the IUCN Red List, or if it appears in CITES Appendix 1, it </w:t>
      </w:r>
      <w:r w:rsidRPr="002449C0">
        <w:rPr>
          <w:rFonts w:ascii="OpenSans-Regular" w:hAnsi="OpenSans-Regular" w:cstheme="minorBidi"/>
          <w:b/>
          <w:bCs/>
          <w:color w:val="4D4D4D"/>
          <w:sz w:val="20"/>
          <w:szCs w:val="20"/>
          <w:lang w:val="en-GB"/>
        </w:rPr>
        <w:t xml:space="preserve">cannot </w:t>
      </w: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be approved for use as an </w:t>
      </w:r>
      <w:proofErr w:type="spellStart"/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>M</w:t>
      </w:r>
      <w:r w:rsidR="00B6476F">
        <w:rPr>
          <w:rFonts w:ascii="OpenSans-Regular" w:hAnsi="OpenSans-Regular" w:cstheme="minorBidi"/>
          <w:color w:val="4D4D4D"/>
          <w:sz w:val="20"/>
          <w:szCs w:val="20"/>
          <w:lang w:val="en-GB"/>
        </w:rPr>
        <w:t>arinTrust</w:t>
      </w:r>
      <w:proofErr w:type="spellEnd"/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 raw material. </w:t>
      </w:r>
    </w:p>
    <w:p w14:paraId="7AF00899" w14:textId="77777777" w:rsidR="002449C0" w:rsidRPr="002449C0" w:rsidRDefault="002449C0" w:rsidP="002449C0">
      <w:pPr>
        <w:pStyle w:val="Default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</w:p>
    <w:p w14:paraId="1B7CC87D" w14:textId="1BFFA9CF" w:rsidR="002449C0" w:rsidRPr="002449C0" w:rsidRDefault="002449C0" w:rsidP="002449C0">
      <w:pPr>
        <w:pStyle w:val="Heading3"/>
        <w:rPr>
          <w:rFonts w:ascii="OpenSans-Regular" w:eastAsiaTheme="minorEastAsia" w:hAnsi="OpenSans-Regular" w:cs="OpenSans-Regular"/>
          <w:bCs/>
          <w:color w:val="005A91"/>
          <w:sz w:val="28"/>
          <w:szCs w:val="28"/>
          <w:lang w:eastAsia="zh-CN"/>
        </w:rPr>
      </w:pPr>
      <w:bookmarkStart w:id="0" w:name="_IUCN_Redlist_Category"/>
      <w:bookmarkEnd w:id="0"/>
      <w:r w:rsidRPr="002449C0">
        <w:rPr>
          <w:rFonts w:ascii="OpenSans-Regular" w:eastAsiaTheme="minorEastAsia" w:hAnsi="OpenSans-Regular" w:cs="OpenSans-Regular"/>
          <w:bCs/>
          <w:color w:val="005A91"/>
          <w:sz w:val="28"/>
          <w:szCs w:val="28"/>
          <w:lang w:eastAsia="zh-CN"/>
        </w:rPr>
        <w:t xml:space="preserve">IUCN </w:t>
      </w:r>
      <w:r w:rsidR="00072CAF" w:rsidRPr="002449C0">
        <w:rPr>
          <w:rFonts w:ascii="OpenSans-Regular" w:eastAsiaTheme="minorEastAsia" w:hAnsi="OpenSans-Regular" w:cs="OpenSans-Regular"/>
          <w:bCs/>
          <w:color w:val="005A91"/>
          <w:sz w:val="28"/>
          <w:szCs w:val="28"/>
          <w:lang w:eastAsia="zh-CN"/>
        </w:rPr>
        <w:t>Red list</w:t>
      </w:r>
      <w:r w:rsidRPr="002449C0">
        <w:rPr>
          <w:rFonts w:ascii="OpenSans-Regular" w:eastAsiaTheme="minorEastAsia" w:hAnsi="OpenSans-Regular" w:cs="OpenSans-Regular"/>
          <w:bCs/>
          <w:color w:val="005A91"/>
          <w:sz w:val="28"/>
          <w:szCs w:val="28"/>
          <w:lang w:eastAsia="zh-CN"/>
        </w:rPr>
        <w:t xml:space="preserve"> Category</w:t>
      </w:r>
    </w:p>
    <w:p w14:paraId="1D2434DC" w14:textId="3CAA90CC" w:rsidR="002449C0" w:rsidRPr="002449C0" w:rsidRDefault="00A56172" w:rsidP="002449C0">
      <w:pPr>
        <w:pStyle w:val="Default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>By-product</w:t>
      </w:r>
      <w:r w:rsidR="002449C0"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 material from a species listed by IUCN (the International Union for Conservation of Nature) under the Red List for the following categories shall immediately fail the </w:t>
      </w:r>
      <w:proofErr w:type="gramStart"/>
      <w:r w:rsidR="002449C0"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>assessment;</w:t>
      </w:r>
      <w:proofErr w:type="gramEnd"/>
      <w:r w:rsidR="002449C0"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 </w:t>
      </w:r>
    </w:p>
    <w:p w14:paraId="110CA069" w14:textId="77777777" w:rsidR="002449C0" w:rsidRPr="002449C0" w:rsidRDefault="002449C0" w:rsidP="002449C0">
      <w:pPr>
        <w:pStyle w:val="Default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</w:p>
    <w:p w14:paraId="2C72905F" w14:textId="77777777" w:rsidR="002449C0" w:rsidRPr="002449C0" w:rsidRDefault="002449C0" w:rsidP="002449C0">
      <w:pPr>
        <w:pStyle w:val="Default"/>
        <w:numPr>
          <w:ilvl w:val="0"/>
          <w:numId w:val="19"/>
        </w:numPr>
        <w:spacing w:after="286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EXTINCT (E) AND EXTINCT IN THE WILD (EW) </w:t>
      </w:r>
    </w:p>
    <w:p w14:paraId="42195724" w14:textId="77777777" w:rsidR="002449C0" w:rsidRPr="002449C0" w:rsidRDefault="002449C0" w:rsidP="002449C0">
      <w:pPr>
        <w:pStyle w:val="Default"/>
        <w:numPr>
          <w:ilvl w:val="0"/>
          <w:numId w:val="19"/>
        </w:numPr>
        <w:spacing w:after="286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CRITICALLY ENDANGERED (CR) facing an extremely high risk of extinction in the wild. </w:t>
      </w:r>
    </w:p>
    <w:p w14:paraId="6130D69E" w14:textId="77777777" w:rsidR="002449C0" w:rsidRPr="002449C0" w:rsidRDefault="002449C0" w:rsidP="002449C0">
      <w:pPr>
        <w:pStyle w:val="Default"/>
        <w:numPr>
          <w:ilvl w:val="0"/>
          <w:numId w:val="19"/>
        </w:numPr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ENDANGERED (EN) facing a very high risk of extinction in the wild. </w:t>
      </w:r>
    </w:p>
    <w:p w14:paraId="29A663BC" w14:textId="77777777" w:rsidR="002449C0" w:rsidRPr="002449C0" w:rsidRDefault="002449C0" w:rsidP="002449C0">
      <w:pPr>
        <w:pStyle w:val="Default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</w:p>
    <w:p w14:paraId="6F4CF232" w14:textId="3ACA5981" w:rsidR="002449C0" w:rsidRPr="002449C0" w:rsidRDefault="00A56172" w:rsidP="002449C0">
      <w:pPr>
        <w:jc w:val="both"/>
        <w:rPr>
          <w:rFonts w:ascii="OpenSans-Regular" w:hAnsi="OpenSans-Regular"/>
          <w:color w:val="4D4D4D"/>
        </w:rPr>
      </w:pPr>
      <w:r w:rsidRPr="002449C0">
        <w:rPr>
          <w:rFonts w:ascii="OpenSans-Regular" w:hAnsi="OpenSans-Regular"/>
          <w:color w:val="4D4D4D"/>
        </w:rPr>
        <w:t>By-product</w:t>
      </w:r>
      <w:r w:rsidR="002449C0" w:rsidRPr="002449C0">
        <w:rPr>
          <w:rFonts w:ascii="OpenSans-Regular" w:hAnsi="OpenSans-Regular"/>
          <w:color w:val="4D4D4D"/>
        </w:rPr>
        <w:t xml:space="preserve"> material may be used from the following categories provided that all clauses in the </w:t>
      </w:r>
      <w:proofErr w:type="spellStart"/>
      <w:r w:rsidR="002449C0" w:rsidRPr="002449C0">
        <w:rPr>
          <w:rFonts w:ascii="OpenSans-Regular" w:hAnsi="OpenSans-Regular"/>
          <w:color w:val="4D4D4D"/>
        </w:rPr>
        <w:t>MarinTrust</w:t>
      </w:r>
      <w:proofErr w:type="spellEnd"/>
      <w:r w:rsidR="002449C0" w:rsidRPr="002449C0">
        <w:rPr>
          <w:rFonts w:ascii="OpenSans-Regular" w:hAnsi="OpenSans-Regular"/>
          <w:color w:val="4D4D4D"/>
        </w:rPr>
        <w:t xml:space="preserve"> standard are passed. </w:t>
      </w:r>
    </w:p>
    <w:p w14:paraId="75F44C44" w14:textId="77777777" w:rsidR="002449C0" w:rsidRPr="002449C0" w:rsidRDefault="002449C0" w:rsidP="002449C0">
      <w:pPr>
        <w:pStyle w:val="Default"/>
        <w:numPr>
          <w:ilvl w:val="0"/>
          <w:numId w:val="11"/>
        </w:numPr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VULNERABLE (VU) facing a high risk of extinction in the wild. </w:t>
      </w:r>
    </w:p>
    <w:p w14:paraId="381EC051" w14:textId="77777777" w:rsidR="002449C0" w:rsidRPr="002449C0" w:rsidRDefault="002449C0" w:rsidP="002449C0">
      <w:pPr>
        <w:pStyle w:val="Default"/>
        <w:ind w:left="720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</w:p>
    <w:p w14:paraId="0EC4C7C2" w14:textId="77777777" w:rsidR="002449C0" w:rsidRPr="002449C0" w:rsidRDefault="002449C0" w:rsidP="002449C0">
      <w:pPr>
        <w:pStyle w:val="Default"/>
        <w:numPr>
          <w:ilvl w:val="0"/>
          <w:numId w:val="18"/>
        </w:numPr>
        <w:spacing w:after="288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NEAR THREATENED (NT) does not qualify for above now, but is close or is likely to qualify for, a threatened category </w:t>
      </w:r>
      <w:proofErr w:type="gramStart"/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>in the near future</w:t>
      </w:r>
      <w:proofErr w:type="gramEnd"/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. </w:t>
      </w:r>
    </w:p>
    <w:p w14:paraId="2E301945" w14:textId="77777777" w:rsidR="002449C0" w:rsidRPr="002449C0" w:rsidRDefault="002449C0" w:rsidP="002449C0">
      <w:pPr>
        <w:pStyle w:val="Default"/>
        <w:numPr>
          <w:ilvl w:val="0"/>
          <w:numId w:val="18"/>
        </w:numPr>
        <w:spacing w:after="288"/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LEAST CONCERN (LC) Widespread and abundant. </w:t>
      </w:r>
    </w:p>
    <w:p w14:paraId="064643F6" w14:textId="77777777" w:rsidR="002449C0" w:rsidRPr="002449C0" w:rsidRDefault="002449C0" w:rsidP="002449C0">
      <w:pPr>
        <w:pStyle w:val="Default"/>
        <w:numPr>
          <w:ilvl w:val="0"/>
          <w:numId w:val="18"/>
        </w:numPr>
        <w:rPr>
          <w:rFonts w:ascii="OpenSans-Regular" w:hAnsi="OpenSans-Regular" w:cstheme="minorBidi"/>
          <w:color w:val="4D4D4D"/>
          <w:sz w:val="20"/>
          <w:szCs w:val="20"/>
          <w:lang w:val="en-GB"/>
        </w:rPr>
      </w:pPr>
      <w:r w:rsidRPr="002449C0">
        <w:rPr>
          <w:rFonts w:ascii="OpenSans-Regular" w:hAnsi="OpenSans-Regular" w:cstheme="minorBidi"/>
          <w:color w:val="4D4D4D"/>
          <w:sz w:val="20"/>
          <w:szCs w:val="20"/>
          <w:lang w:val="en-GB"/>
        </w:rPr>
        <w:t xml:space="preserve">DATA DEFICIENT (DD) and NOT EVALUATED (NE) </w:t>
      </w:r>
    </w:p>
    <w:p w14:paraId="55A945EA" w14:textId="77777777" w:rsidR="00716C61" w:rsidRPr="002449C0" w:rsidRDefault="00716C61" w:rsidP="00716C61">
      <w:pPr>
        <w:pStyle w:val="Caption"/>
        <w:keepNext/>
        <w:rPr>
          <w:rFonts w:ascii="OpenSans-Regular" w:hAnsi="OpenSans-Regular"/>
          <w:sz w:val="22"/>
          <w:szCs w:val="22"/>
          <w:lang w:val="en-IE"/>
        </w:rPr>
      </w:pPr>
    </w:p>
    <w:p w14:paraId="6F2D3B62" w14:textId="492E5FB4" w:rsidR="00990860" w:rsidRPr="00541A29" w:rsidRDefault="00716C61" w:rsidP="00541A29">
      <w:pPr>
        <w:pStyle w:val="Caption"/>
        <w:keepNext/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</w:pPr>
      <w:r w:rsidRPr="004771F3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t xml:space="preserve">Table </w:t>
      </w:r>
      <w:r w:rsidR="00DF03B6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t>3</w:t>
      </w:r>
      <w:r w:rsidRPr="004771F3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t xml:space="preserve"> Species</w:t>
      </w:r>
      <w:r w:rsidR="00DF03B6">
        <w:rPr>
          <w:rFonts w:ascii="OpenSans-Regular" w:hAnsi="OpenSans-Regular" w:cs="OpenSans-Regular"/>
          <w:b w:val="0"/>
          <w:smallCaps w:val="0"/>
          <w:color w:val="005A91"/>
          <w:spacing w:val="0"/>
          <w:sz w:val="36"/>
          <w:szCs w:val="36"/>
          <w:lang w:eastAsia="zh-CN"/>
        </w:rPr>
        <w:t xml:space="preserve"> Categorisation Table</w:t>
      </w:r>
    </w:p>
    <w:tbl>
      <w:tblPr>
        <w:tblStyle w:val="TableGrid"/>
        <w:tblpPr w:leftFromText="180" w:rightFromText="180" w:vertAnchor="text" w:horzAnchor="margin" w:tblpXSpec="center" w:tblpY="308"/>
        <w:tblW w:w="10839" w:type="dxa"/>
        <w:tblLook w:val="04A0" w:firstRow="1" w:lastRow="0" w:firstColumn="1" w:lastColumn="0" w:noHBand="0" w:noVBand="1"/>
      </w:tblPr>
      <w:tblGrid>
        <w:gridCol w:w="1520"/>
        <w:gridCol w:w="1413"/>
        <w:gridCol w:w="1530"/>
        <w:gridCol w:w="2372"/>
        <w:gridCol w:w="1199"/>
        <w:gridCol w:w="1530"/>
        <w:gridCol w:w="1275"/>
      </w:tblGrid>
      <w:tr w:rsidR="004B3DE2" w:rsidRPr="00556D43" w14:paraId="328D4949" w14:textId="77777777" w:rsidTr="00C41D39">
        <w:trPr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EC2B8"/>
          </w:tcPr>
          <w:p w14:paraId="3935CF78" w14:textId="77777777" w:rsidR="004B3DE2" w:rsidRPr="004771F3" w:rsidRDefault="004B3DE2" w:rsidP="004B3DE2">
            <w:pPr>
              <w:jc w:val="center"/>
              <w:rPr>
                <w:rFonts w:ascii="OpenSans-Regular" w:hAnsi="OpenSans-Regular"/>
                <w:b/>
                <w:color w:val="4D4D4D"/>
              </w:rPr>
            </w:pPr>
            <w:r w:rsidRPr="004771F3">
              <w:rPr>
                <w:rFonts w:ascii="OpenSans-Regular" w:hAnsi="OpenSans-Regular"/>
                <w:b/>
                <w:color w:val="4D4D4D"/>
              </w:rPr>
              <w:t>Common name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7EC2B8"/>
          </w:tcPr>
          <w:p w14:paraId="6064F819" w14:textId="77777777" w:rsidR="004B3DE2" w:rsidRPr="004771F3" w:rsidRDefault="004B3DE2" w:rsidP="004B3DE2">
            <w:pPr>
              <w:jc w:val="center"/>
              <w:rPr>
                <w:rFonts w:ascii="OpenSans-Regular" w:hAnsi="OpenSans-Regular"/>
                <w:b/>
                <w:color w:val="4D4D4D"/>
              </w:rPr>
            </w:pPr>
            <w:r w:rsidRPr="004771F3">
              <w:rPr>
                <w:rFonts w:ascii="OpenSans-Regular" w:hAnsi="OpenSans-Regular"/>
                <w:b/>
                <w:color w:val="4D4D4D"/>
              </w:rPr>
              <w:t>Latin name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7EC2B8"/>
          </w:tcPr>
          <w:p w14:paraId="1C8EB831" w14:textId="77777777" w:rsidR="004B3DE2" w:rsidRPr="004771F3" w:rsidRDefault="004B3DE2" w:rsidP="004B3DE2">
            <w:pPr>
              <w:jc w:val="center"/>
              <w:rPr>
                <w:rFonts w:ascii="OpenSans-Regular" w:hAnsi="OpenSans-Regular"/>
                <w:b/>
                <w:color w:val="4D4D4D"/>
              </w:rPr>
            </w:pPr>
            <w:r w:rsidRPr="004771F3">
              <w:rPr>
                <w:rFonts w:ascii="OpenSans-Regular" w:hAnsi="OpenSans-Regular"/>
                <w:b/>
                <w:color w:val="4D4D4D"/>
              </w:rPr>
              <w:t>Stock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7EC2B8"/>
          </w:tcPr>
          <w:p w14:paraId="2A3CF2DD" w14:textId="77777777" w:rsidR="004B3DE2" w:rsidRPr="004771F3" w:rsidRDefault="004B3DE2" w:rsidP="004B3DE2">
            <w:pPr>
              <w:jc w:val="center"/>
              <w:rPr>
                <w:rFonts w:ascii="OpenSans-Regular" w:hAnsi="OpenSans-Regular"/>
                <w:b/>
                <w:color w:val="4D4D4D"/>
              </w:rPr>
            </w:pPr>
            <w:r>
              <w:rPr>
                <w:rFonts w:ascii="OpenSans-Regular" w:hAnsi="OpenSans-Regular"/>
                <w:b/>
                <w:color w:val="4D4D4D"/>
              </w:rPr>
              <w:t>Management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7EC2B8"/>
          </w:tcPr>
          <w:p w14:paraId="7F3DD190" w14:textId="77777777" w:rsidR="004B3DE2" w:rsidRPr="004771F3" w:rsidRDefault="004B3DE2" w:rsidP="004B3DE2">
            <w:pPr>
              <w:jc w:val="center"/>
              <w:rPr>
                <w:rFonts w:ascii="OpenSans-Regular" w:hAnsi="OpenSans-Regular"/>
                <w:b/>
                <w:color w:val="4D4D4D"/>
              </w:rPr>
            </w:pPr>
            <w:r>
              <w:rPr>
                <w:rFonts w:ascii="OpenSans-Regular" w:hAnsi="OpenSans-Regular"/>
                <w:b/>
                <w:color w:val="4D4D4D"/>
              </w:rPr>
              <w:t>Category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7EC2B8"/>
          </w:tcPr>
          <w:p w14:paraId="019D73E2" w14:textId="77777777" w:rsidR="004B3DE2" w:rsidRPr="004771F3" w:rsidRDefault="004B3DE2" w:rsidP="004B3DE2">
            <w:pPr>
              <w:jc w:val="center"/>
              <w:rPr>
                <w:rFonts w:ascii="OpenSans-Regular" w:hAnsi="OpenSans-Regular"/>
                <w:b/>
                <w:color w:val="4D4D4D"/>
              </w:rPr>
            </w:pPr>
            <w:r w:rsidRPr="00C01BA8">
              <w:rPr>
                <w:rFonts w:ascii="OpenSans-Regular" w:hAnsi="OpenSans-Regular"/>
                <w:b/>
                <w:color w:val="4D4D4D"/>
              </w:rPr>
              <w:t>IUCN Red List Category</w:t>
            </w:r>
            <w:r w:rsidRPr="00C01BA8">
              <w:rPr>
                <w:rFonts w:ascii="OpenSans-Regular" w:hAnsi="OpenSans-Regular"/>
                <w:b/>
                <w:color w:val="4D4D4D"/>
                <w:vertAlign w:val="superscript"/>
              </w:rPr>
              <w:footnoteReference w:id="2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2B8"/>
          </w:tcPr>
          <w:p w14:paraId="10734E3E" w14:textId="77777777" w:rsidR="004B3DE2" w:rsidRPr="004771F3" w:rsidRDefault="004B3DE2" w:rsidP="004B3DE2">
            <w:pPr>
              <w:jc w:val="center"/>
              <w:rPr>
                <w:rFonts w:ascii="OpenSans-Regular" w:hAnsi="OpenSans-Regular"/>
                <w:b/>
                <w:color w:val="4D4D4D"/>
              </w:rPr>
            </w:pPr>
            <w:r w:rsidRPr="004B3DE2">
              <w:rPr>
                <w:rFonts w:ascii="OpenSans-Regular" w:hAnsi="OpenSans-Regular"/>
                <w:b/>
                <w:color w:val="4D4D4D"/>
              </w:rPr>
              <w:t>CITES Appendix 1</w:t>
            </w:r>
            <w:r w:rsidRPr="004B3DE2">
              <w:rPr>
                <w:rFonts w:ascii="OpenSans-Regular" w:hAnsi="OpenSans-Regular"/>
                <w:b/>
                <w:color w:val="4D4D4D"/>
                <w:vertAlign w:val="superscript"/>
              </w:rPr>
              <w:footnoteReference w:id="3"/>
            </w:r>
          </w:p>
        </w:tc>
      </w:tr>
      <w:tr w:rsidR="004B3DE2" w:rsidRPr="004771F3" w14:paraId="7CA263DA" w14:textId="77777777" w:rsidTr="00C41D39">
        <w:trPr>
          <w:trHeight w:val="39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</w:tcPr>
          <w:p w14:paraId="714153AA" w14:textId="79E73ECE" w:rsidR="004B3DE2" w:rsidRPr="004771F3" w:rsidRDefault="00AB682D" w:rsidP="004B3DE2">
            <w:pPr>
              <w:rPr>
                <w:rFonts w:ascii="OpenSans-Regular" w:hAnsi="OpenSans-Regular"/>
                <w:color w:val="4D4D4D"/>
              </w:rPr>
            </w:pPr>
            <w:r w:rsidRPr="00AB682D">
              <w:rPr>
                <w:rFonts w:ascii="OpenSans-Regular" w:hAnsi="OpenSans-Regular"/>
                <w:color w:val="4D4D4D"/>
              </w:rPr>
              <w:t>White Anglerfish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723396A8" w14:textId="374A6189" w:rsidR="004B3DE2" w:rsidRPr="004771F3" w:rsidRDefault="00AB682D" w:rsidP="004B3DE2">
            <w:pPr>
              <w:rPr>
                <w:rFonts w:ascii="OpenSans-Regular" w:hAnsi="OpenSans-Regular"/>
                <w:i/>
                <w:color w:val="4D4D4D"/>
              </w:rPr>
            </w:pPr>
            <w:r w:rsidRPr="00AB682D">
              <w:rPr>
                <w:rFonts w:ascii="OpenSans-Regular" w:hAnsi="OpenSans-Regular"/>
                <w:i/>
                <w:color w:val="4D4D4D"/>
              </w:rPr>
              <w:t xml:space="preserve">Lophius </w:t>
            </w:r>
            <w:proofErr w:type="spellStart"/>
            <w:r w:rsidRPr="00AB682D">
              <w:rPr>
                <w:rFonts w:ascii="OpenSans-Regular" w:hAnsi="OpenSans-Regular"/>
                <w:i/>
                <w:color w:val="4D4D4D"/>
              </w:rPr>
              <w:t>piscatorius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02790DC" w14:textId="621C42F6" w:rsidR="004B3DE2" w:rsidRPr="004771F3" w:rsidRDefault="00AB682D" w:rsidP="004B3DE2">
            <w:pPr>
              <w:rPr>
                <w:rFonts w:ascii="OpenSans-Regular" w:hAnsi="OpenSans-Regular"/>
                <w:color w:val="4D4D4D"/>
              </w:rPr>
            </w:pPr>
            <w:r w:rsidRPr="00AB682D">
              <w:rPr>
                <w:rFonts w:ascii="OpenSans-Regular" w:hAnsi="OpenSans-Regular"/>
                <w:color w:val="4D4D4D"/>
              </w:rPr>
              <w:t>White anglerfish in Subarea 7 b-k and Divisions 8a-b and 8.d (Celtics Bay, Bay of Biscay)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48ED1C11" w14:textId="6086E314" w:rsidR="004B3DE2" w:rsidRPr="004771F3" w:rsidRDefault="00AB682D" w:rsidP="004B3DE2">
            <w:pPr>
              <w:rPr>
                <w:rFonts w:ascii="OpenSans-Regular" w:hAnsi="OpenSans-Regular"/>
                <w:color w:val="4D4D4D"/>
              </w:rPr>
            </w:pPr>
            <w:r w:rsidRPr="00AB682D">
              <w:rPr>
                <w:rFonts w:ascii="OpenSans-Regular" w:hAnsi="OpenSans-Regular"/>
                <w:color w:val="4D4D4D"/>
              </w:rPr>
              <w:t xml:space="preserve">European Union (Common Fisheries Policy), France Direction des </w:t>
            </w:r>
            <w:proofErr w:type="spellStart"/>
            <w:r w:rsidRPr="00AB682D">
              <w:rPr>
                <w:rFonts w:ascii="OpenSans-Regular" w:hAnsi="OpenSans-Regular"/>
                <w:color w:val="4D4D4D"/>
              </w:rPr>
              <w:t>Pêches</w:t>
            </w:r>
            <w:proofErr w:type="spellEnd"/>
            <w:r w:rsidRPr="00AB682D">
              <w:rPr>
                <w:rFonts w:ascii="OpenSans-Regular" w:hAnsi="OpenSans-Regular"/>
                <w:color w:val="4D4D4D"/>
              </w:rPr>
              <w:t xml:space="preserve"> Maritimes et de </w:t>
            </w:r>
            <w:proofErr w:type="spellStart"/>
            <w:r w:rsidRPr="00AB682D">
              <w:rPr>
                <w:rFonts w:ascii="OpenSans-Regular" w:hAnsi="OpenSans-Regular"/>
                <w:color w:val="4D4D4D"/>
              </w:rPr>
              <w:t>l’Aquaculture</w:t>
            </w:r>
            <w:proofErr w:type="spellEnd"/>
            <w:r w:rsidRPr="00AB682D">
              <w:rPr>
                <w:rFonts w:ascii="OpenSans-Regular" w:hAnsi="OpenSans-Regular"/>
                <w:color w:val="4D4D4D"/>
              </w:rPr>
              <w:t xml:space="preserve">, 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4B5A9157" w14:textId="6FFE3901" w:rsidR="004B3DE2" w:rsidRPr="004771F3" w:rsidRDefault="00AB682D" w:rsidP="004B3DE2">
            <w:pPr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C869649" w14:textId="33BA45DD" w:rsidR="004B3DE2" w:rsidRPr="004771F3" w:rsidRDefault="00AB682D" w:rsidP="004B3DE2">
            <w:pPr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t>L</w:t>
            </w:r>
            <w:r w:rsidR="003E3805">
              <w:rPr>
                <w:rFonts w:ascii="OpenSans-Regular" w:hAnsi="OpenSans-Regular"/>
                <w:color w:val="4D4D4D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02406D01" w14:textId="773F9993" w:rsidR="004B3DE2" w:rsidRPr="004771F3" w:rsidRDefault="00AB682D" w:rsidP="004B3DE2">
            <w:pPr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t>No</w:t>
            </w:r>
          </w:p>
        </w:tc>
      </w:tr>
    </w:tbl>
    <w:p w14:paraId="6C262C98" w14:textId="7201BB78" w:rsidR="00FE37CA" w:rsidRPr="00541A29" w:rsidRDefault="00EC402B" w:rsidP="00541A29">
      <w:pPr>
        <w:rPr>
          <w:rFonts w:ascii="OpenSans-Regular" w:hAnsi="OpenSans-Regular"/>
        </w:rPr>
      </w:pPr>
      <w:r w:rsidRPr="00556D43">
        <w:rPr>
          <w:rFonts w:ascii="OpenSans-Regular" w:hAnsi="OpenSans-Regular"/>
        </w:rPr>
        <w:br w:type="page"/>
      </w:r>
      <w:bookmarkStart w:id="1" w:name="_SPECIES_CATEGORISATION"/>
      <w:bookmarkEnd w:id="1"/>
    </w:p>
    <w:p w14:paraId="7AE6A5D8" w14:textId="77777777" w:rsidR="009E5D33" w:rsidRPr="008209E4" w:rsidRDefault="009E5D33" w:rsidP="009E5D33">
      <w:pPr>
        <w:pStyle w:val="Heading1"/>
        <w:rPr>
          <w:rFonts w:ascii="OpenSans-Regular" w:eastAsiaTheme="minorEastAsia" w:hAnsi="OpenSans-Regular" w:cs="OpenSans-Regular"/>
          <w:bCs/>
          <w:color w:val="005A91"/>
          <w:sz w:val="36"/>
          <w:szCs w:val="36"/>
          <w:lang w:eastAsia="zh-CN"/>
        </w:rPr>
      </w:pPr>
      <w:bookmarkStart w:id="2" w:name="_CATEGORY_A_SPECIES"/>
      <w:bookmarkStart w:id="3" w:name="_CATEGORY_B_SPECIES"/>
      <w:bookmarkStart w:id="4" w:name="_CATEGORY_C_SPECIES"/>
      <w:bookmarkEnd w:id="2"/>
      <w:bookmarkEnd w:id="3"/>
      <w:bookmarkEnd w:id="4"/>
      <w:r w:rsidRPr="008209E4">
        <w:rPr>
          <w:rFonts w:ascii="OpenSans-Regular" w:eastAsiaTheme="minorEastAsia" w:hAnsi="OpenSans-Regular" w:cs="OpenSans-Regular"/>
          <w:bCs/>
          <w:color w:val="005A91"/>
          <w:sz w:val="36"/>
          <w:szCs w:val="36"/>
          <w:lang w:eastAsia="zh-CN"/>
        </w:rPr>
        <w:lastRenderedPageBreak/>
        <w:t>CATEGORY C SPECIES</w:t>
      </w:r>
    </w:p>
    <w:p w14:paraId="239A7C41" w14:textId="77777777" w:rsidR="00D91649" w:rsidRDefault="00D91649" w:rsidP="00D91649">
      <w:pPr>
        <w:jc w:val="both"/>
        <w:rPr>
          <w:rFonts w:ascii="OpenSans-Regular" w:hAnsi="OpenSans-Regular"/>
          <w:color w:val="4D4D4D"/>
        </w:rPr>
      </w:pPr>
    </w:p>
    <w:p w14:paraId="062688D8" w14:textId="010478CA" w:rsidR="00D91649" w:rsidRPr="007900E4" w:rsidRDefault="00D91649" w:rsidP="00D91649">
      <w:pPr>
        <w:jc w:val="both"/>
        <w:rPr>
          <w:rFonts w:ascii="OpenSans-Regular" w:hAnsi="OpenSans-Regular"/>
          <w:color w:val="4D4D4D"/>
        </w:rPr>
      </w:pPr>
      <w:r w:rsidRPr="007900E4">
        <w:rPr>
          <w:rFonts w:ascii="OpenSans-Regular" w:hAnsi="OpenSans-Regular"/>
          <w:color w:val="4D4D4D"/>
        </w:rPr>
        <w:t>In a by-product assessment, Category C species are those which are subject to a species-specific management regime and are usually targeted species in fisheries for human consumption.</w:t>
      </w:r>
    </w:p>
    <w:p w14:paraId="0F5C6E42" w14:textId="77777777" w:rsidR="00D91649" w:rsidRPr="0025533A" w:rsidRDefault="00D91649" w:rsidP="00D91649">
      <w:pPr>
        <w:jc w:val="both"/>
        <w:rPr>
          <w:rFonts w:ascii="OpenSans-Regular" w:hAnsi="OpenSans-Regular"/>
          <w:color w:val="4D4D4D"/>
        </w:rPr>
      </w:pPr>
      <w:r w:rsidRPr="007900E4">
        <w:rPr>
          <w:rFonts w:ascii="OpenSans-Regular" w:hAnsi="OpenSans-Regular"/>
          <w:color w:val="4D4D4D"/>
        </w:rPr>
        <w:t>Clause C1 should be completed for each Category C species. If there are no Category C species in the fishery under assessment, this section can be deleted. Where a species fails this Clause, it should be assessed as a Category D species instead.</w:t>
      </w:r>
    </w:p>
    <w:p w14:paraId="49A5B164" w14:textId="77777777" w:rsidR="00BA1B25" w:rsidRPr="00556D43" w:rsidRDefault="00BA1B25" w:rsidP="009E5D33">
      <w:pPr>
        <w:jc w:val="both"/>
        <w:rPr>
          <w:rFonts w:ascii="OpenSans-Regular" w:hAnsi="OpenSans-Regular"/>
        </w:rPr>
      </w:pPr>
    </w:p>
    <w:tbl>
      <w:tblPr>
        <w:tblStyle w:val="TableGrid"/>
        <w:tblW w:w="105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"/>
        <w:gridCol w:w="621"/>
        <w:gridCol w:w="1135"/>
        <w:gridCol w:w="3053"/>
        <w:gridCol w:w="4229"/>
        <w:gridCol w:w="7"/>
        <w:gridCol w:w="932"/>
        <w:gridCol w:w="7"/>
      </w:tblGrid>
      <w:tr w:rsidR="00BA1B25" w:rsidRPr="00556D43" w14:paraId="5990CFAA" w14:textId="77777777" w:rsidTr="008209E4">
        <w:trPr>
          <w:gridAfter w:val="1"/>
          <w:wAfter w:w="6" w:type="dxa"/>
        </w:trPr>
        <w:tc>
          <w:tcPr>
            <w:tcW w:w="2352" w:type="dxa"/>
            <w:gridSpan w:val="3"/>
          </w:tcPr>
          <w:p w14:paraId="4BCA47E7" w14:textId="77777777" w:rsidR="00BA1B25" w:rsidRPr="00556D43" w:rsidRDefault="00BA1B25" w:rsidP="00767E3D">
            <w:pPr>
              <w:rPr>
                <w:rFonts w:ascii="OpenSans-Regular" w:hAnsi="OpenSans-Regular"/>
                <w:b/>
                <w:color w:val="244061" w:themeColor="accent1" w:themeShade="80"/>
                <w:sz w:val="32"/>
              </w:rPr>
            </w:pPr>
            <w:r w:rsidRPr="008209E4">
              <w:rPr>
                <w:rFonts w:ascii="OpenSans-Regular" w:hAnsi="OpenSans-Regular" w:cs="OpenSans-Regular"/>
                <w:b/>
                <w:color w:val="005A91"/>
                <w:sz w:val="36"/>
                <w:szCs w:val="36"/>
                <w:lang w:eastAsia="zh-CN"/>
              </w:rPr>
              <w:t>Species Name</w:t>
            </w:r>
          </w:p>
        </w:tc>
        <w:tc>
          <w:tcPr>
            <w:tcW w:w="8221" w:type="dxa"/>
            <w:gridSpan w:val="4"/>
          </w:tcPr>
          <w:p w14:paraId="2A354B27" w14:textId="31C25820" w:rsidR="00BA1B25" w:rsidRPr="008209E4" w:rsidRDefault="00AB682D" w:rsidP="008209E4">
            <w:pPr>
              <w:ind w:firstLine="720"/>
              <w:rPr>
                <w:rFonts w:ascii="OpenSans-Regular" w:hAnsi="OpenSans-Regular"/>
                <w:b/>
                <w:color w:val="4D4D4D"/>
              </w:rPr>
            </w:pPr>
            <w:r w:rsidRPr="00AB682D">
              <w:rPr>
                <w:rFonts w:ascii="OpenSans-Regular" w:hAnsi="OpenSans-Regular"/>
                <w:b/>
                <w:color w:val="4D4D4D"/>
              </w:rPr>
              <w:t xml:space="preserve">White </w:t>
            </w:r>
            <w:r w:rsidR="00C41D39">
              <w:rPr>
                <w:rFonts w:ascii="OpenSans-Regular" w:hAnsi="OpenSans-Regular"/>
                <w:b/>
                <w:color w:val="4D4D4D"/>
              </w:rPr>
              <w:t>a</w:t>
            </w:r>
            <w:r w:rsidRPr="00AB682D">
              <w:rPr>
                <w:rFonts w:ascii="OpenSans-Regular" w:hAnsi="OpenSans-Regular"/>
                <w:b/>
                <w:color w:val="4D4D4D"/>
              </w:rPr>
              <w:t>nglerfish (</w:t>
            </w:r>
            <w:r w:rsidRPr="00AB682D">
              <w:rPr>
                <w:rFonts w:ascii="OpenSans-Regular" w:hAnsi="OpenSans-Regular"/>
                <w:b/>
                <w:i/>
                <w:iCs/>
                <w:color w:val="4D4D4D"/>
              </w:rPr>
              <w:t xml:space="preserve">Lophius </w:t>
            </w:r>
            <w:proofErr w:type="spellStart"/>
            <w:r w:rsidRPr="00AB682D">
              <w:rPr>
                <w:rFonts w:ascii="OpenSans-Regular" w:hAnsi="OpenSans-Regular"/>
                <w:b/>
                <w:i/>
                <w:iCs/>
                <w:color w:val="4D4D4D"/>
              </w:rPr>
              <w:t>piscatorius</w:t>
            </w:r>
            <w:proofErr w:type="spellEnd"/>
            <w:r w:rsidRPr="00AB682D">
              <w:rPr>
                <w:rFonts w:ascii="OpenSans-Regular" w:hAnsi="OpenSans-Regular"/>
                <w:b/>
                <w:color w:val="4D4D4D"/>
              </w:rPr>
              <w:t>)</w:t>
            </w:r>
          </w:p>
        </w:tc>
      </w:tr>
      <w:tr w:rsidR="00BA1B25" w:rsidRPr="00556D43" w14:paraId="534A1668" w14:textId="77777777" w:rsidTr="008209E4">
        <w:trPr>
          <w:gridAfter w:val="1"/>
          <w:wAfter w:w="7" w:type="dxa"/>
        </w:trPr>
        <w:tc>
          <w:tcPr>
            <w:tcW w:w="596" w:type="dxa"/>
            <w:vMerge w:val="restart"/>
          </w:tcPr>
          <w:p w14:paraId="237B84F3" w14:textId="77777777" w:rsidR="00BA1B25" w:rsidRPr="00556D43" w:rsidRDefault="00BA1B25" w:rsidP="00767E3D">
            <w:pPr>
              <w:rPr>
                <w:rFonts w:ascii="OpenSans-Regular" w:hAnsi="OpenSans-Regular"/>
              </w:rPr>
            </w:pPr>
            <w:r w:rsidRPr="008209E4">
              <w:rPr>
                <w:rFonts w:ascii="OpenSans-Regular" w:hAnsi="OpenSans-Regular" w:cs="OpenSans-Regular"/>
                <w:b/>
                <w:color w:val="005A91"/>
                <w:sz w:val="36"/>
                <w:szCs w:val="36"/>
                <w:lang w:eastAsia="zh-CN"/>
              </w:rPr>
              <w:t>C1</w:t>
            </w:r>
          </w:p>
        </w:tc>
        <w:tc>
          <w:tcPr>
            <w:tcW w:w="9976" w:type="dxa"/>
            <w:gridSpan w:val="6"/>
            <w:shd w:val="clear" w:color="auto" w:fill="7EC2B8"/>
          </w:tcPr>
          <w:p w14:paraId="54A83019" w14:textId="77777777" w:rsidR="00BA1B25" w:rsidRPr="008209E4" w:rsidRDefault="00BA1B25" w:rsidP="00767E3D">
            <w:pPr>
              <w:rPr>
                <w:rFonts w:ascii="OpenSans-Regular" w:hAnsi="OpenSans-Regular"/>
                <w:b/>
                <w:color w:val="4D4D4D"/>
              </w:rPr>
            </w:pPr>
            <w:r w:rsidRPr="008209E4">
              <w:rPr>
                <w:rFonts w:ascii="OpenSans-Regular" w:hAnsi="OpenSans-Regular"/>
                <w:b/>
                <w:color w:val="4D4D4D"/>
              </w:rPr>
              <w:t>Category C Stock Status - Minimum Requirements</w:t>
            </w:r>
          </w:p>
        </w:tc>
      </w:tr>
      <w:tr w:rsidR="00BA1B25" w:rsidRPr="00556D43" w14:paraId="3BC292A6" w14:textId="77777777" w:rsidTr="008209E4">
        <w:trPr>
          <w:gridAfter w:val="1"/>
          <w:wAfter w:w="7" w:type="dxa"/>
        </w:trPr>
        <w:tc>
          <w:tcPr>
            <w:tcW w:w="596" w:type="dxa"/>
            <w:vMerge/>
          </w:tcPr>
          <w:p w14:paraId="5C4A8020" w14:textId="77777777" w:rsidR="00BA1B25" w:rsidRPr="00556D43" w:rsidRDefault="00BA1B25" w:rsidP="00767E3D">
            <w:pPr>
              <w:rPr>
                <w:rFonts w:ascii="OpenSans-Regular" w:hAnsi="OpenSans-Regular"/>
              </w:rPr>
            </w:pPr>
          </w:p>
        </w:tc>
        <w:tc>
          <w:tcPr>
            <w:tcW w:w="621" w:type="dxa"/>
          </w:tcPr>
          <w:p w14:paraId="31223E7E" w14:textId="77777777" w:rsidR="00BA1B25" w:rsidRPr="008209E4" w:rsidRDefault="00BA1B25" w:rsidP="00767E3D">
            <w:pPr>
              <w:rPr>
                <w:rFonts w:ascii="OpenSans-Regular" w:hAnsi="OpenSans-Regular"/>
                <w:b/>
                <w:bCs/>
                <w:color w:val="4D4D4D"/>
              </w:rPr>
            </w:pPr>
            <w:r w:rsidRPr="008209E4">
              <w:rPr>
                <w:rFonts w:ascii="OpenSans-Regular" w:hAnsi="OpenSans-Regular"/>
                <w:b/>
                <w:bCs/>
                <w:color w:val="4D4D4D"/>
              </w:rPr>
              <w:t>C1.1</w:t>
            </w:r>
          </w:p>
        </w:tc>
        <w:tc>
          <w:tcPr>
            <w:tcW w:w="8417" w:type="dxa"/>
            <w:gridSpan w:val="3"/>
          </w:tcPr>
          <w:p w14:paraId="09C42CB6" w14:textId="77777777" w:rsidR="00BA1B25" w:rsidRPr="008209E4" w:rsidRDefault="00BA1B25" w:rsidP="00767E3D">
            <w:pPr>
              <w:rPr>
                <w:rFonts w:ascii="OpenSans-Regular" w:hAnsi="OpenSans-Regular"/>
                <w:color w:val="4D4D4D"/>
              </w:rPr>
            </w:pPr>
            <w:r w:rsidRPr="008209E4">
              <w:rPr>
                <w:rFonts w:ascii="OpenSans-Regular" w:hAnsi="OpenSans-Regular"/>
                <w:color w:val="4D4D4D"/>
              </w:rPr>
              <w:t xml:space="preserve">Fishery removals of the species in the fishery under assessment are included in the stock assessment </w:t>
            </w:r>
            <w:proofErr w:type="gramStart"/>
            <w:r w:rsidRPr="008209E4">
              <w:rPr>
                <w:rFonts w:ascii="OpenSans-Regular" w:hAnsi="OpenSans-Regular"/>
                <w:color w:val="4D4D4D"/>
              </w:rPr>
              <w:t>process, OR</w:t>
            </w:r>
            <w:proofErr w:type="gramEnd"/>
            <w:r w:rsidRPr="008209E4">
              <w:rPr>
                <w:rFonts w:ascii="OpenSans-Regular" w:hAnsi="OpenSans-Regular"/>
                <w:color w:val="4D4D4D"/>
              </w:rPr>
              <w:t xml:space="preserve"> are considered by scientific authorities to be negligible. </w:t>
            </w:r>
          </w:p>
        </w:tc>
        <w:tc>
          <w:tcPr>
            <w:tcW w:w="938" w:type="dxa"/>
            <w:gridSpan w:val="2"/>
          </w:tcPr>
          <w:p w14:paraId="45F3F9CA" w14:textId="5DEE4E89" w:rsidR="00BA1B25" w:rsidRPr="008209E4" w:rsidRDefault="00AB682D" w:rsidP="00767E3D">
            <w:pPr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t>Yes</w:t>
            </w:r>
          </w:p>
        </w:tc>
      </w:tr>
      <w:tr w:rsidR="00BA1B25" w:rsidRPr="00556D43" w14:paraId="5CB38CBD" w14:textId="77777777" w:rsidTr="008209E4">
        <w:trPr>
          <w:gridAfter w:val="1"/>
          <w:wAfter w:w="7" w:type="dxa"/>
        </w:trPr>
        <w:tc>
          <w:tcPr>
            <w:tcW w:w="596" w:type="dxa"/>
            <w:vMerge/>
          </w:tcPr>
          <w:p w14:paraId="3280C319" w14:textId="77777777" w:rsidR="00BA1B25" w:rsidRPr="00556D43" w:rsidRDefault="00BA1B25" w:rsidP="00767E3D">
            <w:pPr>
              <w:rPr>
                <w:rFonts w:ascii="OpenSans-Regular" w:hAnsi="OpenSans-Regular"/>
              </w:rPr>
            </w:pPr>
          </w:p>
        </w:tc>
        <w:tc>
          <w:tcPr>
            <w:tcW w:w="621" w:type="dxa"/>
          </w:tcPr>
          <w:p w14:paraId="10C952ED" w14:textId="77777777" w:rsidR="00BA1B25" w:rsidRPr="008209E4" w:rsidRDefault="00BA1B25" w:rsidP="00767E3D">
            <w:pPr>
              <w:rPr>
                <w:rFonts w:ascii="OpenSans-Regular" w:hAnsi="OpenSans-Regular"/>
                <w:b/>
                <w:bCs/>
                <w:color w:val="4D4D4D"/>
              </w:rPr>
            </w:pPr>
            <w:r w:rsidRPr="008209E4">
              <w:rPr>
                <w:rFonts w:ascii="OpenSans-Regular" w:hAnsi="OpenSans-Regular"/>
                <w:b/>
                <w:bCs/>
                <w:color w:val="4D4D4D"/>
              </w:rPr>
              <w:t>C1.2</w:t>
            </w:r>
          </w:p>
        </w:tc>
        <w:tc>
          <w:tcPr>
            <w:tcW w:w="8417" w:type="dxa"/>
            <w:gridSpan w:val="3"/>
          </w:tcPr>
          <w:p w14:paraId="167F1475" w14:textId="77777777" w:rsidR="00BA1B25" w:rsidRPr="008209E4" w:rsidRDefault="00BA1B25" w:rsidP="00767E3D">
            <w:pPr>
              <w:rPr>
                <w:rFonts w:ascii="OpenSans-Regular" w:hAnsi="OpenSans-Regular"/>
                <w:color w:val="4D4D4D"/>
              </w:rPr>
            </w:pPr>
            <w:r w:rsidRPr="008209E4">
              <w:rPr>
                <w:rFonts w:ascii="OpenSans-Regular" w:hAnsi="OpenSans-Regular"/>
                <w:color w:val="4D4D4D"/>
              </w:rPr>
              <w:t>The species is considered, in its most recent stock assessment, to have a biomass above the limit reference point (or proxy), OR removals by the fishery under assessment are considered by scientific authorities to be negligible.</w:t>
            </w:r>
          </w:p>
        </w:tc>
        <w:tc>
          <w:tcPr>
            <w:tcW w:w="938" w:type="dxa"/>
            <w:gridSpan w:val="2"/>
          </w:tcPr>
          <w:p w14:paraId="2440957C" w14:textId="51385558" w:rsidR="00BA1B25" w:rsidRPr="008209E4" w:rsidRDefault="00AB682D" w:rsidP="00767E3D">
            <w:pPr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t>Yes</w:t>
            </w:r>
          </w:p>
        </w:tc>
      </w:tr>
      <w:tr w:rsidR="00BA1B25" w:rsidRPr="00556D43" w14:paraId="1FAC3A98" w14:textId="77777777" w:rsidTr="008209E4">
        <w:tc>
          <w:tcPr>
            <w:tcW w:w="9641" w:type="dxa"/>
            <w:gridSpan w:val="6"/>
          </w:tcPr>
          <w:p w14:paraId="6F2B0E91" w14:textId="77777777" w:rsidR="00BA1B25" w:rsidRPr="008209E4" w:rsidRDefault="00BA1B25" w:rsidP="00767E3D">
            <w:pPr>
              <w:jc w:val="right"/>
              <w:rPr>
                <w:rFonts w:ascii="OpenSans-Regular" w:hAnsi="OpenSans-Regular"/>
                <w:b/>
                <w:color w:val="4D4D4D"/>
              </w:rPr>
            </w:pPr>
            <w:r w:rsidRPr="008209E4">
              <w:rPr>
                <w:rFonts w:ascii="OpenSans-Regular" w:hAnsi="OpenSans-Regular"/>
                <w:b/>
                <w:color w:val="4D4D4D"/>
              </w:rPr>
              <w:t>Clause outcome:</w:t>
            </w:r>
          </w:p>
        </w:tc>
        <w:tc>
          <w:tcPr>
            <w:tcW w:w="938" w:type="dxa"/>
            <w:gridSpan w:val="2"/>
            <w:shd w:val="clear" w:color="auto" w:fill="auto"/>
          </w:tcPr>
          <w:p w14:paraId="61DABDB2" w14:textId="39998AC9" w:rsidR="00BA1B25" w:rsidRPr="00556D43" w:rsidRDefault="00AB682D" w:rsidP="00767E3D">
            <w:pPr>
              <w:rPr>
                <w:rFonts w:ascii="OpenSans-Regular" w:hAnsi="OpenSans-Regular"/>
              </w:rPr>
            </w:pPr>
            <w:r>
              <w:rPr>
                <w:rFonts w:ascii="OpenSans-Regular" w:hAnsi="OpenSans-Regular"/>
              </w:rPr>
              <w:t>Pass</w:t>
            </w:r>
          </w:p>
        </w:tc>
      </w:tr>
      <w:tr w:rsidR="00BA1B25" w:rsidRPr="00556D43" w14:paraId="45A02D35" w14:textId="77777777" w:rsidTr="008209E4">
        <w:trPr>
          <w:trHeight w:val="1397"/>
        </w:trPr>
        <w:tc>
          <w:tcPr>
            <w:tcW w:w="10579" w:type="dxa"/>
            <w:gridSpan w:val="8"/>
          </w:tcPr>
          <w:p w14:paraId="6BCA5A7B" w14:textId="427A21F6" w:rsidR="00E05C2D" w:rsidRDefault="00E05C2D" w:rsidP="00767E3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 w:rsidRPr="008209E4">
              <w:rPr>
                <w:rFonts w:ascii="OpenSans-Regular" w:hAnsi="OpenSans-Regular"/>
                <w:b/>
                <w:bCs/>
                <w:color w:val="4D4D4D"/>
              </w:rPr>
              <w:t xml:space="preserve">C1.1 Fishery removals of the species in the fishery under assessment are included in the stock assessment </w:t>
            </w:r>
            <w:proofErr w:type="gramStart"/>
            <w:r w:rsidRPr="008209E4">
              <w:rPr>
                <w:rFonts w:ascii="OpenSans-Regular" w:hAnsi="OpenSans-Regular"/>
                <w:b/>
                <w:bCs/>
                <w:color w:val="4D4D4D"/>
              </w:rPr>
              <w:t>process, OR</w:t>
            </w:r>
            <w:proofErr w:type="gramEnd"/>
            <w:r w:rsidRPr="008209E4">
              <w:rPr>
                <w:rFonts w:ascii="OpenSans-Regular" w:hAnsi="OpenSans-Regular"/>
                <w:b/>
                <w:bCs/>
                <w:color w:val="4D4D4D"/>
              </w:rPr>
              <w:t xml:space="preserve"> are considered by scientific authorities to be negligible</w:t>
            </w:r>
            <w:r w:rsidRPr="008209E4">
              <w:rPr>
                <w:rFonts w:ascii="OpenSans-Regular" w:hAnsi="OpenSans-Regular"/>
                <w:color w:val="4D4D4D"/>
              </w:rPr>
              <w:t>.</w:t>
            </w:r>
          </w:p>
          <w:p w14:paraId="299CDCAF" w14:textId="3E46C791" w:rsidR="00AB682D" w:rsidRDefault="00AB682D" w:rsidP="00AB682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 w:rsidRPr="00AB682D">
              <w:rPr>
                <w:rFonts w:ascii="OpenSans-Regular" w:hAnsi="OpenSans-Regular"/>
                <w:color w:val="4D4D4D"/>
              </w:rPr>
              <w:t xml:space="preserve">The stock assessment is a length-based age-structured Stock Synthesis model that uses catches (commercial landings and discards) in the model and forecast. Long-term catch </w:t>
            </w:r>
            <w:r w:rsidR="00417FDF">
              <w:rPr>
                <w:rFonts w:ascii="OpenSans-Regular" w:hAnsi="OpenSans-Regular"/>
                <w:color w:val="4D4D4D"/>
              </w:rPr>
              <w:t>and</w:t>
            </w:r>
            <w:r w:rsidR="0024772B">
              <w:rPr>
                <w:rFonts w:ascii="OpenSans-Regular" w:hAnsi="OpenSans-Regular"/>
                <w:color w:val="4D4D4D"/>
              </w:rPr>
              <w:t xml:space="preserve"> fishing mortality at ages 3-15 [F</w:t>
            </w:r>
            <w:r w:rsidR="00417FDF" w:rsidRPr="00417FDF">
              <w:rPr>
                <w:rFonts w:ascii="OpenSans-Regular" w:hAnsi="OpenSans-Regular"/>
                <w:color w:val="4D4D4D"/>
                <w:vertAlign w:val="subscript"/>
              </w:rPr>
              <w:t>(</w:t>
            </w:r>
            <w:r w:rsidR="0024772B" w:rsidRPr="0024772B">
              <w:rPr>
                <w:rFonts w:ascii="OpenSans-Regular" w:hAnsi="OpenSans-Regular"/>
                <w:color w:val="4D4D4D"/>
                <w:vertAlign w:val="subscript"/>
              </w:rPr>
              <w:t>ages 3-15)</w:t>
            </w:r>
            <w:r w:rsidR="0024772B">
              <w:rPr>
                <w:rFonts w:ascii="OpenSans-Regular" w:hAnsi="OpenSans-Regular"/>
                <w:color w:val="4D4D4D"/>
              </w:rPr>
              <w:t xml:space="preserve">] </w:t>
            </w:r>
            <w:r w:rsidRPr="00AB682D">
              <w:rPr>
                <w:rFonts w:ascii="OpenSans-Regular" w:hAnsi="OpenSans-Regular"/>
                <w:color w:val="4D4D4D"/>
              </w:rPr>
              <w:t>data are presented in Figure 1.</w:t>
            </w:r>
          </w:p>
          <w:p w14:paraId="29FD6686" w14:textId="77777777" w:rsidR="00417FDF" w:rsidRDefault="0024772B" w:rsidP="00417FDF">
            <w:pPr>
              <w:keepNext/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64DB67C0" wp14:editId="50281DEB">
                  <wp:extent cx="4000500" cy="4305300"/>
                  <wp:effectExtent l="0" t="0" r="0" b="0"/>
                  <wp:docPr id="35219543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9543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430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39D9A" w14:textId="44730303" w:rsidR="0024772B" w:rsidRPr="00417FDF" w:rsidRDefault="00417FDF" w:rsidP="00417FDF">
            <w:pPr>
              <w:pStyle w:val="Caption"/>
              <w:jc w:val="both"/>
              <w:rPr>
                <w:smallCaps w:val="0"/>
              </w:rPr>
            </w:pPr>
            <w:r w:rsidRPr="00417FDF">
              <w:rPr>
                <w:smallCaps w:val="0"/>
              </w:rPr>
              <w:t xml:space="preserve">Figure </w:t>
            </w:r>
            <w:r w:rsidRPr="00417FDF">
              <w:rPr>
                <w:smallCaps w:val="0"/>
              </w:rPr>
              <w:fldChar w:fldCharType="begin"/>
            </w:r>
            <w:r w:rsidRPr="00417FDF">
              <w:rPr>
                <w:smallCaps w:val="0"/>
              </w:rPr>
              <w:instrText xml:space="preserve"> SEQ Figure \* ARABIC </w:instrText>
            </w:r>
            <w:r w:rsidRPr="00417FDF">
              <w:rPr>
                <w:smallCaps w:val="0"/>
              </w:rPr>
              <w:fldChar w:fldCharType="separate"/>
            </w:r>
            <w:r w:rsidR="00A624A8">
              <w:rPr>
                <w:smallCaps w:val="0"/>
                <w:noProof/>
              </w:rPr>
              <w:t>1</w:t>
            </w:r>
            <w:r w:rsidRPr="00417FDF">
              <w:rPr>
                <w:smallCaps w:val="0"/>
              </w:rPr>
              <w:fldChar w:fldCharType="end"/>
            </w:r>
            <w:r w:rsidR="00EA2EE3">
              <w:rPr>
                <w:smallCaps w:val="0"/>
              </w:rPr>
              <w:t>.</w:t>
            </w:r>
            <w:r>
              <w:t xml:space="preserve"> </w:t>
            </w:r>
            <w:r w:rsidRPr="00417FDF">
              <w:rPr>
                <w:smallCaps w:val="0"/>
              </w:rPr>
              <w:t xml:space="preserve">Long-term catches for White Anglerfish in Subarea 7 and Divisions 8.a-b and 8.d. </w:t>
            </w:r>
            <w:r>
              <w:rPr>
                <w:smallCaps w:val="0"/>
              </w:rPr>
              <w:t>Discards o</w:t>
            </w:r>
            <w:r w:rsidRPr="00417FDF">
              <w:rPr>
                <w:smallCaps w:val="0"/>
              </w:rPr>
              <w:t>bservations</w:t>
            </w:r>
            <w:r>
              <w:rPr>
                <w:smallCaps w:val="0"/>
              </w:rPr>
              <w:t xml:space="preserve"> </w:t>
            </w:r>
            <w:r w:rsidRPr="00417FDF">
              <w:rPr>
                <w:smallCaps w:val="0"/>
              </w:rPr>
              <w:t xml:space="preserve">are available since 2003. </w:t>
            </w:r>
            <w:r w:rsidR="00C41D39" w:rsidRPr="00417FDF">
              <w:rPr>
                <w:smallCaps w:val="0"/>
              </w:rPr>
              <w:t>Source: ICES 202</w:t>
            </w:r>
            <w:r w:rsidR="00C41D39">
              <w:rPr>
                <w:smallCaps w:val="0"/>
              </w:rPr>
              <w:t>3</w:t>
            </w:r>
            <w:r w:rsidR="00C41D39" w:rsidRPr="00417FDF">
              <w:rPr>
                <w:smallCaps w:val="0"/>
              </w:rPr>
              <w:t>.</w:t>
            </w:r>
            <w:r w:rsidR="00C41D39">
              <w:t xml:space="preserve">  </w:t>
            </w:r>
          </w:p>
          <w:p w14:paraId="6D0E635C" w14:textId="01CAEBF0" w:rsidR="00AB682D" w:rsidRPr="008209E4" w:rsidRDefault="00AB682D" w:rsidP="00AB682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 w:rsidRPr="00AB682D">
              <w:rPr>
                <w:rFonts w:ascii="OpenSans-Regular" w:hAnsi="OpenSans-Regular"/>
                <w:color w:val="4D4D4D"/>
              </w:rPr>
              <w:lastRenderedPageBreak/>
              <w:t xml:space="preserve">Therefore, the fishery removals of the stock, including the fishery under assessment, are included in the stock assessment process; it </w:t>
            </w:r>
            <w:r w:rsidRPr="00AB682D">
              <w:rPr>
                <w:rFonts w:ascii="OpenSans-Regular" w:hAnsi="OpenSans-Regular"/>
                <w:b/>
                <w:bCs/>
                <w:color w:val="4D4D4D"/>
              </w:rPr>
              <w:t>PASSES Clause C1.1</w:t>
            </w:r>
          </w:p>
          <w:p w14:paraId="6B6403C0" w14:textId="3DF6B42B" w:rsidR="00C30497" w:rsidRPr="008209E4" w:rsidRDefault="00BA1B25" w:rsidP="00767E3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 w:rsidRPr="008209E4">
              <w:rPr>
                <w:rFonts w:ascii="OpenSans-Regular" w:hAnsi="OpenSans-Regular"/>
                <w:b/>
                <w:bCs/>
                <w:color w:val="4D4D4D"/>
              </w:rPr>
              <w:t>C1.2</w:t>
            </w:r>
            <w:r w:rsidRPr="008209E4">
              <w:rPr>
                <w:rFonts w:ascii="OpenSans-Regular" w:hAnsi="OpenSans-Regular"/>
                <w:color w:val="4D4D4D"/>
              </w:rPr>
              <w:t xml:space="preserve"> </w:t>
            </w:r>
            <w:r w:rsidR="00C30497" w:rsidRPr="008209E4">
              <w:rPr>
                <w:rFonts w:ascii="OpenSans-Regular" w:hAnsi="OpenSans-Regular"/>
                <w:b/>
                <w:bCs/>
                <w:color w:val="4D4D4D"/>
              </w:rPr>
              <w:t>The species is considered, in its most recent stock assessment, to have a biomass above the limit reference point (or proxy), OR removals by the fishery under assessment are considered by scientific authorities to be negligible.</w:t>
            </w:r>
          </w:p>
          <w:p w14:paraId="642FAD3F" w14:textId="14162D52" w:rsidR="001B2DBB" w:rsidRDefault="00417FDF" w:rsidP="00767E3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t xml:space="preserve">According to CITES (2023), </w:t>
            </w:r>
            <w:r w:rsidR="001B2DBB">
              <w:rPr>
                <w:rFonts w:ascii="OpenSans-Regular" w:hAnsi="OpenSans-Regular"/>
                <w:color w:val="4D4D4D"/>
              </w:rPr>
              <w:t>t</w:t>
            </w:r>
            <w:r w:rsidRPr="00417FDF">
              <w:rPr>
                <w:rFonts w:ascii="OpenSans-Regular" w:hAnsi="OpenSans-Regular"/>
                <w:color w:val="4D4D4D"/>
              </w:rPr>
              <w:t xml:space="preserve">he spawning-stock biomass (SSB) and its 95% confidence intervals are above MSY </w:t>
            </w:r>
            <w:proofErr w:type="spellStart"/>
            <w:r w:rsidRPr="00417FDF">
              <w:rPr>
                <w:rFonts w:ascii="OpenSans-Regular" w:hAnsi="OpenSans-Regular"/>
                <w:color w:val="4D4D4D"/>
              </w:rPr>
              <w:t>B</w:t>
            </w:r>
            <w:r w:rsidRPr="001B2DBB">
              <w:rPr>
                <w:rFonts w:ascii="OpenSans-Regular" w:hAnsi="OpenSans-Regular"/>
                <w:color w:val="4D4D4D"/>
                <w:vertAlign w:val="subscript"/>
              </w:rPr>
              <w:t>trigger</w:t>
            </w:r>
            <w:proofErr w:type="spellEnd"/>
            <w:r w:rsidRPr="00417FDF">
              <w:rPr>
                <w:rFonts w:ascii="OpenSans-Regular" w:hAnsi="OpenSans-Regular"/>
                <w:color w:val="4D4D4D"/>
              </w:rPr>
              <w:t xml:space="preserve">, </w:t>
            </w:r>
            <w:proofErr w:type="spellStart"/>
            <w:r w:rsidRPr="00417FDF">
              <w:rPr>
                <w:rFonts w:ascii="OpenSans-Regular" w:hAnsi="OpenSans-Regular"/>
                <w:color w:val="4D4D4D"/>
              </w:rPr>
              <w:t>B</w:t>
            </w:r>
            <w:r w:rsidRPr="001B2DBB">
              <w:rPr>
                <w:rFonts w:ascii="OpenSans-Regular" w:hAnsi="OpenSans-Regular"/>
                <w:color w:val="4D4D4D"/>
                <w:vertAlign w:val="subscript"/>
              </w:rPr>
              <w:t>pa</w:t>
            </w:r>
            <w:proofErr w:type="spellEnd"/>
            <w:r w:rsidRPr="00417FDF">
              <w:rPr>
                <w:rFonts w:ascii="OpenSans-Regular" w:hAnsi="OpenSans-Regular"/>
                <w:color w:val="4D4D4D"/>
              </w:rPr>
              <w:t xml:space="preserve">, and </w:t>
            </w:r>
            <w:proofErr w:type="spellStart"/>
            <w:r w:rsidRPr="00417FDF">
              <w:rPr>
                <w:rFonts w:ascii="OpenSans-Regular" w:hAnsi="OpenSans-Regular"/>
                <w:color w:val="4D4D4D"/>
              </w:rPr>
              <w:t>B</w:t>
            </w:r>
            <w:r w:rsidRPr="001B2DBB">
              <w:rPr>
                <w:rFonts w:ascii="OpenSans-Regular" w:hAnsi="OpenSans-Regular"/>
                <w:color w:val="4D4D4D"/>
                <w:vertAlign w:val="subscript"/>
              </w:rPr>
              <w:t>lim</w:t>
            </w:r>
            <w:proofErr w:type="spellEnd"/>
            <w:r w:rsidRPr="00417FDF">
              <w:rPr>
                <w:rFonts w:ascii="OpenSans-Regular" w:hAnsi="OpenSans-Regular"/>
                <w:color w:val="4D4D4D"/>
              </w:rPr>
              <w:t xml:space="preserve"> (Figure 2). </w:t>
            </w:r>
          </w:p>
          <w:p w14:paraId="19F4D058" w14:textId="6591965D" w:rsidR="001B2DBB" w:rsidRDefault="001B2DBB" w:rsidP="00767E3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>
              <w:rPr>
                <w:rFonts w:ascii="OpenSans-Regular" w:hAnsi="OpenSans-Regular"/>
                <w:color w:val="4D4D4D"/>
              </w:rPr>
              <w:t>Where</w:t>
            </w:r>
            <w:r w:rsidR="00DF4591">
              <w:rPr>
                <w:rFonts w:ascii="OpenSans-Regular" w:hAnsi="OpenSans-Regular"/>
                <w:color w:val="4D4D4D"/>
              </w:rPr>
              <w:t>as</w:t>
            </w:r>
            <w:r>
              <w:rPr>
                <w:rFonts w:ascii="OpenSans-Regular" w:hAnsi="OpenSans-Regular"/>
                <w:color w:val="4D4D4D"/>
              </w:rPr>
              <w:t>:</w:t>
            </w:r>
          </w:p>
          <w:p w14:paraId="61F73AAE" w14:textId="27B9AEAE" w:rsidR="00417FDF" w:rsidRDefault="001B2DBB" w:rsidP="00EA2EE3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 w:rsidRPr="001B2DBB">
              <w:rPr>
                <w:rFonts w:ascii="OpenSans-Regular" w:hAnsi="OpenSans-Regular"/>
                <w:color w:val="4D4D4D"/>
              </w:rPr>
              <w:t xml:space="preserve">MSY </w:t>
            </w:r>
            <w:proofErr w:type="spellStart"/>
            <w:r w:rsidRPr="001B2DBB">
              <w:rPr>
                <w:rFonts w:ascii="OpenSans-Regular" w:hAnsi="OpenSans-Regular"/>
                <w:color w:val="4D4D4D"/>
              </w:rPr>
              <w:t>Btrigger</w:t>
            </w:r>
            <w:proofErr w:type="spellEnd"/>
            <w:r>
              <w:rPr>
                <w:rFonts w:ascii="OpenSans-Regular" w:hAnsi="OpenSans-Regular"/>
                <w:color w:val="4D4D4D"/>
              </w:rPr>
              <w:t xml:space="preserve"> = </w:t>
            </w:r>
            <w:r w:rsidR="00EA2EE3" w:rsidRPr="00EA2EE3">
              <w:rPr>
                <w:rFonts w:ascii="OpenSans-Regular" w:hAnsi="OpenSans-Regular"/>
                <w:color w:val="4D4D4D"/>
              </w:rPr>
              <w:t>A biomass reference point that triggers a cautious response within the ICES</w:t>
            </w:r>
            <w:r w:rsidR="00DF4591">
              <w:rPr>
                <w:rFonts w:ascii="OpenSans-Regular" w:hAnsi="OpenSans-Regular"/>
                <w:color w:val="4D4D4D"/>
              </w:rPr>
              <w:t xml:space="preserve"> </w:t>
            </w:r>
            <w:r w:rsidR="00DF4591" w:rsidRPr="001B2DBB">
              <w:rPr>
                <w:rFonts w:ascii="OpenSans-Regular" w:hAnsi="OpenSans-Regular"/>
                <w:color w:val="4D4D4D"/>
              </w:rPr>
              <w:t>Maximum Sustainable Yield</w:t>
            </w:r>
            <w:r w:rsidR="00EA2EE3" w:rsidRPr="00EA2EE3">
              <w:rPr>
                <w:rFonts w:ascii="OpenSans-Regular" w:hAnsi="OpenSans-Regular"/>
                <w:color w:val="4D4D4D"/>
              </w:rPr>
              <w:t xml:space="preserve"> </w:t>
            </w:r>
            <w:r w:rsidR="00DF4591">
              <w:rPr>
                <w:rFonts w:ascii="OpenSans-Regular" w:hAnsi="OpenSans-Regular"/>
                <w:color w:val="4D4D4D"/>
              </w:rPr>
              <w:t>-</w:t>
            </w:r>
            <w:r w:rsidR="00EA2EE3" w:rsidRPr="00EA2EE3">
              <w:rPr>
                <w:rFonts w:ascii="OpenSans-Regular" w:hAnsi="OpenSans-Regular"/>
                <w:color w:val="4D4D4D"/>
              </w:rPr>
              <w:t>MSY</w:t>
            </w:r>
            <w:r w:rsidR="00EA2EE3">
              <w:rPr>
                <w:rFonts w:ascii="OpenSans-Regular" w:hAnsi="OpenSans-Regular"/>
                <w:color w:val="4D4D4D"/>
              </w:rPr>
              <w:t xml:space="preserve"> </w:t>
            </w:r>
            <w:proofErr w:type="gramStart"/>
            <w:r w:rsidR="00EA2EE3" w:rsidRPr="00EA2EE3">
              <w:rPr>
                <w:rFonts w:ascii="OpenSans-Regular" w:hAnsi="OpenSans-Regular"/>
                <w:color w:val="4D4D4D"/>
              </w:rPr>
              <w:t>framework</w:t>
            </w:r>
            <w:r w:rsidR="003E3805">
              <w:rPr>
                <w:rFonts w:ascii="OpenSans-Regular" w:hAnsi="OpenSans-Regular"/>
                <w:color w:val="4D4D4D"/>
              </w:rPr>
              <w:t>;</w:t>
            </w:r>
            <w:proofErr w:type="gramEnd"/>
          </w:p>
          <w:p w14:paraId="1968A87C" w14:textId="7E850274" w:rsidR="001B2DBB" w:rsidRDefault="001B2DBB" w:rsidP="00767E3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 w:rsidRPr="001B2DBB">
              <w:rPr>
                <w:rFonts w:ascii="OpenSans-Regular" w:hAnsi="OpenSans-Regular"/>
                <w:color w:val="4D4D4D"/>
              </w:rPr>
              <w:t>FMSY</w:t>
            </w:r>
            <w:r>
              <w:rPr>
                <w:rFonts w:ascii="OpenSans-Regular" w:hAnsi="OpenSans-Regular"/>
                <w:color w:val="4D4D4D"/>
              </w:rPr>
              <w:t xml:space="preserve"> = </w:t>
            </w:r>
            <w:r w:rsidRPr="001B2DBB">
              <w:rPr>
                <w:rFonts w:ascii="OpenSans-Regular" w:hAnsi="OpenSans-Regular"/>
                <w:color w:val="4D4D4D"/>
              </w:rPr>
              <w:t xml:space="preserve">Fishing mortality consistent with achieving </w:t>
            </w:r>
            <w:proofErr w:type="gramStart"/>
            <w:r w:rsidRPr="001B2DBB">
              <w:rPr>
                <w:rFonts w:ascii="OpenSans-Regular" w:hAnsi="OpenSans-Regular"/>
                <w:color w:val="4D4D4D"/>
              </w:rPr>
              <w:t>MSY</w:t>
            </w:r>
            <w:r w:rsidR="003E3805">
              <w:rPr>
                <w:rFonts w:ascii="OpenSans-Regular" w:hAnsi="OpenSans-Regular"/>
                <w:color w:val="4D4D4D"/>
              </w:rPr>
              <w:t>;</w:t>
            </w:r>
            <w:proofErr w:type="gramEnd"/>
          </w:p>
          <w:p w14:paraId="7A993154" w14:textId="7DDF38C6" w:rsidR="001B2DBB" w:rsidRDefault="001B2DBB" w:rsidP="00767E3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proofErr w:type="spellStart"/>
            <w:r w:rsidRPr="001B2DBB">
              <w:rPr>
                <w:rFonts w:ascii="OpenSans-Regular" w:hAnsi="OpenSans-Regular"/>
                <w:color w:val="4D4D4D"/>
              </w:rPr>
              <w:t>B</w:t>
            </w:r>
            <w:r w:rsidRPr="001B2DBB">
              <w:rPr>
                <w:rFonts w:ascii="OpenSans-Regular" w:hAnsi="OpenSans-Regular"/>
                <w:color w:val="4D4D4D"/>
                <w:vertAlign w:val="subscript"/>
              </w:rPr>
              <w:t>pa</w:t>
            </w:r>
            <w:proofErr w:type="spellEnd"/>
            <w:r>
              <w:rPr>
                <w:rFonts w:ascii="OpenSans-Regular" w:hAnsi="OpenSans-Regular"/>
                <w:color w:val="4D4D4D"/>
              </w:rPr>
              <w:t xml:space="preserve"> = </w:t>
            </w:r>
            <w:r w:rsidRPr="001B2DBB">
              <w:rPr>
                <w:rFonts w:ascii="OpenSans-Regular" w:hAnsi="OpenSans-Regular"/>
                <w:color w:val="4D4D4D"/>
              </w:rPr>
              <w:t xml:space="preserve">Precautionary reference point for spawning stock </w:t>
            </w:r>
            <w:proofErr w:type="gramStart"/>
            <w:r w:rsidRPr="001B2DBB">
              <w:rPr>
                <w:rFonts w:ascii="OpenSans-Regular" w:hAnsi="OpenSans-Regular"/>
                <w:color w:val="4D4D4D"/>
              </w:rPr>
              <w:t>biomass</w:t>
            </w:r>
            <w:r w:rsidR="003E3805">
              <w:rPr>
                <w:rFonts w:ascii="OpenSans-Regular" w:hAnsi="OpenSans-Regular"/>
                <w:color w:val="4D4D4D"/>
              </w:rPr>
              <w:t>;</w:t>
            </w:r>
            <w:proofErr w:type="gramEnd"/>
          </w:p>
          <w:p w14:paraId="48EC390E" w14:textId="7791EFAC" w:rsidR="001B2DBB" w:rsidRDefault="001B2DBB" w:rsidP="00767E3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proofErr w:type="spellStart"/>
            <w:r w:rsidRPr="00417FDF">
              <w:rPr>
                <w:rFonts w:ascii="OpenSans-Regular" w:hAnsi="OpenSans-Regular"/>
                <w:color w:val="4D4D4D"/>
              </w:rPr>
              <w:t>B</w:t>
            </w:r>
            <w:r w:rsidRPr="001B2DBB">
              <w:rPr>
                <w:rFonts w:ascii="OpenSans-Regular" w:hAnsi="OpenSans-Regular"/>
                <w:color w:val="4D4D4D"/>
                <w:vertAlign w:val="subscript"/>
              </w:rPr>
              <w:t>lim</w:t>
            </w:r>
            <w:proofErr w:type="spellEnd"/>
            <w:r w:rsidRPr="00417FDF">
              <w:rPr>
                <w:rFonts w:ascii="OpenSans-Regular" w:hAnsi="OpenSans-Regular"/>
                <w:color w:val="4D4D4D"/>
              </w:rPr>
              <w:t xml:space="preserve"> </w:t>
            </w:r>
            <w:r>
              <w:rPr>
                <w:rFonts w:ascii="OpenSans-Regular" w:hAnsi="OpenSans-Regular"/>
                <w:color w:val="4D4D4D"/>
              </w:rPr>
              <w:t xml:space="preserve">= </w:t>
            </w:r>
            <w:r w:rsidRPr="001B2DBB">
              <w:rPr>
                <w:rFonts w:ascii="OpenSans-Regular" w:hAnsi="OpenSans-Regular"/>
                <w:color w:val="4D4D4D"/>
              </w:rPr>
              <w:t>Limit reference point for spawning stock biomass</w:t>
            </w:r>
            <w:r w:rsidR="003E3805">
              <w:rPr>
                <w:rFonts w:ascii="OpenSans-Regular" w:hAnsi="OpenSans-Regular"/>
                <w:color w:val="4D4D4D"/>
              </w:rPr>
              <w:t>.</w:t>
            </w:r>
            <w:r w:rsidRPr="001B2DBB">
              <w:rPr>
                <w:rFonts w:ascii="OpenSans-Regular" w:hAnsi="OpenSans-Regular"/>
                <w:color w:val="4D4D4D"/>
              </w:rPr>
              <w:t xml:space="preserve"> </w:t>
            </w:r>
          </w:p>
          <w:p w14:paraId="6091DDEB" w14:textId="77777777" w:rsidR="001B2DBB" w:rsidRDefault="001B2DBB" w:rsidP="00767E3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</w:p>
          <w:p w14:paraId="3C61D4E1" w14:textId="77777777" w:rsidR="001B2DBB" w:rsidRDefault="001B2DBB" w:rsidP="001B2DBB">
            <w:pPr>
              <w:keepNext/>
              <w:spacing w:after="120"/>
              <w:jc w:val="both"/>
            </w:pPr>
            <w:r>
              <w:rPr>
                <w:noProof/>
              </w:rPr>
              <w:drawing>
                <wp:inline distT="0" distB="0" distL="0" distR="0" wp14:anchorId="1522FB6B" wp14:editId="7A13FA7B">
                  <wp:extent cx="6115050" cy="3505200"/>
                  <wp:effectExtent l="0" t="0" r="0" b="0"/>
                  <wp:docPr id="124037887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37887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0" cy="35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72FEC9" w14:textId="3DFFF526" w:rsidR="001B2DBB" w:rsidRPr="001B2DBB" w:rsidRDefault="001B2DBB" w:rsidP="001B2DBB">
            <w:pPr>
              <w:pStyle w:val="Caption"/>
              <w:jc w:val="both"/>
              <w:rPr>
                <w:smallCaps w:val="0"/>
              </w:rPr>
            </w:pPr>
            <w:r w:rsidRPr="001B2DBB">
              <w:rPr>
                <w:smallCaps w:val="0"/>
              </w:rPr>
              <w:t xml:space="preserve">Figure </w:t>
            </w:r>
            <w:r w:rsidRPr="001B2DBB">
              <w:rPr>
                <w:smallCaps w:val="0"/>
              </w:rPr>
              <w:fldChar w:fldCharType="begin"/>
            </w:r>
            <w:r w:rsidRPr="001B2DBB">
              <w:rPr>
                <w:smallCaps w:val="0"/>
              </w:rPr>
              <w:instrText xml:space="preserve"> SEQ Figure \* ARABIC </w:instrText>
            </w:r>
            <w:r w:rsidRPr="001B2DBB">
              <w:rPr>
                <w:smallCaps w:val="0"/>
              </w:rPr>
              <w:fldChar w:fldCharType="separate"/>
            </w:r>
            <w:r w:rsidR="00A624A8">
              <w:rPr>
                <w:smallCaps w:val="0"/>
                <w:noProof/>
              </w:rPr>
              <w:t>2</w:t>
            </w:r>
            <w:r w:rsidRPr="001B2DBB">
              <w:rPr>
                <w:smallCaps w:val="0"/>
              </w:rPr>
              <w:fldChar w:fldCharType="end"/>
            </w:r>
            <w:r w:rsidRPr="001B2DBB">
              <w:rPr>
                <w:smallCaps w:val="0"/>
              </w:rPr>
              <w:t>. Long-term spawning stock biomass (SSB) trends in Subarea 7 and divisions 8.a-b and 8.d</w:t>
            </w:r>
            <w:r w:rsidR="003E3805">
              <w:rPr>
                <w:smallCaps w:val="0"/>
              </w:rPr>
              <w:t xml:space="preserve">, </w:t>
            </w:r>
            <w:r w:rsidRPr="001B2DBB">
              <w:rPr>
                <w:smallCaps w:val="0"/>
              </w:rPr>
              <w:t>with 95% confidence intervals. Source: ICES 202</w:t>
            </w:r>
            <w:r>
              <w:rPr>
                <w:smallCaps w:val="0"/>
              </w:rPr>
              <w:t>3</w:t>
            </w:r>
            <w:r w:rsidRPr="001B2DBB">
              <w:rPr>
                <w:smallCaps w:val="0"/>
              </w:rPr>
              <w:t>.</w:t>
            </w:r>
          </w:p>
          <w:p w14:paraId="42A8CED0" w14:textId="77777777" w:rsidR="001B2DBB" w:rsidRPr="001B2DBB" w:rsidRDefault="001B2DBB" w:rsidP="001B2DBB"/>
          <w:p w14:paraId="4C3919D0" w14:textId="0FDBF5ED" w:rsidR="00BA1B25" w:rsidRPr="008209E4" w:rsidRDefault="00417FDF" w:rsidP="00767E3D">
            <w:pPr>
              <w:spacing w:after="120"/>
              <w:jc w:val="both"/>
              <w:rPr>
                <w:rFonts w:ascii="OpenSans-Regular" w:hAnsi="OpenSans-Regular"/>
                <w:color w:val="4D4D4D"/>
              </w:rPr>
            </w:pPr>
            <w:r w:rsidRPr="00417FDF">
              <w:rPr>
                <w:rFonts w:ascii="OpenSans-Regular" w:hAnsi="OpenSans-Regular"/>
                <w:color w:val="4D4D4D"/>
              </w:rPr>
              <w:t xml:space="preserve">Therefore, the stock is considered, in its most recent stock assessment, to have biomass above the limit reference point. The stock </w:t>
            </w:r>
            <w:r w:rsidRPr="00EA2EE3">
              <w:rPr>
                <w:rFonts w:ascii="OpenSans-Regular" w:hAnsi="OpenSans-Regular"/>
                <w:b/>
                <w:bCs/>
                <w:color w:val="4D4D4D"/>
              </w:rPr>
              <w:t>passes Clause C1.2</w:t>
            </w:r>
            <w:r w:rsidRPr="00417FDF">
              <w:rPr>
                <w:rFonts w:ascii="OpenSans-Regular" w:hAnsi="OpenSans-Regular"/>
                <w:color w:val="4D4D4D"/>
              </w:rPr>
              <w:t>.</w:t>
            </w:r>
          </w:p>
        </w:tc>
      </w:tr>
      <w:tr w:rsidR="00BA1B25" w:rsidRPr="00556D43" w14:paraId="0ABC7769" w14:textId="77777777" w:rsidTr="008209E4">
        <w:trPr>
          <w:trHeight w:val="272"/>
        </w:trPr>
        <w:tc>
          <w:tcPr>
            <w:tcW w:w="105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2A1" w14:textId="77777777" w:rsidR="00BA1B25" w:rsidRPr="008209E4" w:rsidRDefault="00BA1B25" w:rsidP="00767E3D">
            <w:pPr>
              <w:spacing w:after="120"/>
              <w:rPr>
                <w:rFonts w:ascii="OpenSans-Regular" w:hAnsi="OpenSans-Regular"/>
                <w:b/>
                <w:color w:val="4D4D4D"/>
              </w:rPr>
            </w:pPr>
            <w:r w:rsidRPr="008209E4">
              <w:rPr>
                <w:rFonts w:ascii="OpenSans-Regular" w:hAnsi="OpenSans-Regular"/>
                <w:b/>
                <w:color w:val="4D4D4D"/>
              </w:rPr>
              <w:lastRenderedPageBreak/>
              <w:t>References</w:t>
            </w:r>
          </w:p>
          <w:p w14:paraId="19A5DA82" w14:textId="578EF8AD" w:rsidR="000B1676" w:rsidRPr="008209E4" w:rsidRDefault="001B2DBB" w:rsidP="00D96539">
            <w:pPr>
              <w:spacing w:after="120"/>
              <w:jc w:val="both"/>
              <w:rPr>
                <w:rFonts w:ascii="OpenSans-Regular" w:hAnsi="OpenSans-Regular" w:cstheme="minorHAnsi"/>
                <w:color w:val="4D4D4D"/>
                <w:lang w:val="en-IE"/>
              </w:rPr>
            </w:pPr>
            <w:r>
              <w:t xml:space="preserve">ICES. 2023. White anglerfish (Lophius </w:t>
            </w:r>
            <w:proofErr w:type="spellStart"/>
            <w:r>
              <w:t>piscatorius</w:t>
            </w:r>
            <w:proofErr w:type="spellEnd"/>
            <w:r>
              <w:t xml:space="preserve">) in Subarea 7 and divisions 8.a–b and 8.d (Celtic Seas, Bay of Biscay). In Report of the ICES Advisory Committee, 2023. ICES Advice 2023, mon.27.78abd, </w:t>
            </w:r>
            <w:hyperlink r:id="rId14" w:history="1">
              <w:r w:rsidR="00EA2EE3" w:rsidRPr="00EA2EE3">
                <w:rPr>
                  <w:rStyle w:val="Hyperlink"/>
                </w:rPr>
                <w:t>https://doi.org/10.17895/ices.advice.21840948</w:t>
              </w:r>
            </w:hyperlink>
          </w:p>
        </w:tc>
      </w:tr>
      <w:tr w:rsidR="00BA1B25" w:rsidRPr="00556D43" w14:paraId="213DE880" w14:textId="77777777" w:rsidTr="008209E4">
        <w:trPr>
          <w:trHeight w:val="253"/>
        </w:trPr>
        <w:tc>
          <w:tcPr>
            <w:tcW w:w="10579" w:type="dxa"/>
            <w:gridSpan w:val="8"/>
          </w:tcPr>
          <w:p w14:paraId="10582987" w14:textId="2859F6EF" w:rsidR="00BA1B25" w:rsidRPr="008209E4" w:rsidRDefault="004F4235" w:rsidP="004F4235">
            <w:pPr>
              <w:jc w:val="both"/>
              <w:rPr>
                <w:rFonts w:ascii="OpenSans-Regular" w:hAnsi="OpenSans-Regular"/>
                <w:b/>
                <w:bCs/>
                <w:iCs/>
                <w:color w:val="4D4D4D"/>
              </w:rPr>
            </w:pPr>
            <w:r w:rsidRPr="008209E4">
              <w:rPr>
                <w:rFonts w:ascii="OpenSans-Regular" w:hAnsi="OpenSans-Regular"/>
                <w:b/>
                <w:bCs/>
                <w:iCs/>
                <w:color w:val="4D4D4D"/>
              </w:rPr>
              <w:t>Links</w:t>
            </w:r>
          </w:p>
        </w:tc>
      </w:tr>
      <w:tr w:rsidR="00C30497" w:rsidRPr="00556D43" w14:paraId="2C9B3F78" w14:textId="77777777" w:rsidTr="008209E4">
        <w:trPr>
          <w:trHeight w:val="253"/>
        </w:trPr>
        <w:tc>
          <w:tcPr>
            <w:tcW w:w="5405" w:type="dxa"/>
            <w:gridSpan w:val="4"/>
          </w:tcPr>
          <w:p w14:paraId="77072EFC" w14:textId="5639D478" w:rsidR="00C30497" w:rsidRPr="008209E4" w:rsidRDefault="00E11A8A" w:rsidP="00C30497">
            <w:pPr>
              <w:rPr>
                <w:rFonts w:ascii="OpenSans-Regular" w:hAnsi="OpenSans-Regular"/>
                <w:b/>
                <w:bCs/>
                <w:i/>
                <w:color w:val="4D4D4D"/>
              </w:rPr>
            </w:pPr>
            <w:proofErr w:type="spellStart"/>
            <w:r w:rsidRPr="008209E4">
              <w:rPr>
                <w:rFonts w:ascii="OpenSans-Regular" w:hAnsi="OpenSans-Regular"/>
                <w:b/>
                <w:bCs/>
                <w:color w:val="4D4D4D"/>
              </w:rPr>
              <w:t>M</w:t>
            </w:r>
            <w:r w:rsidR="00D91649">
              <w:rPr>
                <w:rFonts w:ascii="OpenSans-Regular" w:hAnsi="OpenSans-Regular"/>
                <w:b/>
                <w:bCs/>
                <w:color w:val="4D4D4D"/>
              </w:rPr>
              <w:t>arinTrust</w:t>
            </w:r>
            <w:proofErr w:type="spellEnd"/>
            <w:r w:rsidR="00C30497" w:rsidRPr="008209E4">
              <w:rPr>
                <w:rFonts w:ascii="OpenSans-Regular" w:hAnsi="OpenSans-Regular"/>
                <w:b/>
                <w:bCs/>
                <w:color w:val="4D4D4D"/>
              </w:rPr>
              <w:t xml:space="preserve"> Standard clause</w:t>
            </w:r>
          </w:p>
        </w:tc>
        <w:tc>
          <w:tcPr>
            <w:tcW w:w="5174" w:type="dxa"/>
            <w:gridSpan w:val="4"/>
          </w:tcPr>
          <w:p w14:paraId="557CB792" w14:textId="4ABD41D9" w:rsidR="00C30497" w:rsidRPr="008209E4" w:rsidRDefault="00C30497" w:rsidP="00C30497">
            <w:pPr>
              <w:rPr>
                <w:rFonts w:ascii="OpenSans-Regular" w:hAnsi="OpenSans-Regular"/>
                <w:iCs/>
                <w:color w:val="4D4D4D"/>
              </w:rPr>
            </w:pPr>
            <w:r w:rsidRPr="008209E4">
              <w:rPr>
                <w:rFonts w:ascii="OpenSans-Regular" w:hAnsi="OpenSans-Regular"/>
                <w:iCs/>
                <w:color w:val="4D4D4D"/>
              </w:rPr>
              <w:t>1.3.2.2</w:t>
            </w:r>
          </w:p>
        </w:tc>
      </w:tr>
      <w:tr w:rsidR="00C30497" w:rsidRPr="00556D43" w14:paraId="27FBB4CD" w14:textId="77777777" w:rsidTr="008209E4">
        <w:trPr>
          <w:trHeight w:val="253"/>
        </w:trPr>
        <w:tc>
          <w:tcPr>
            <w:tcW w:w="5405" w:type="dxa"/>
            <w:gridSpan w:val="4"/>
          </w:tcPr>
          <w:p w14:paraId="4EC5E87B" w14:textId="35E087F6" w:rsidR="00C30497" w:rsidRPr="008209E4" w:rsidRDefault="00C30497" w:rsidP="00C30497">
            <w:pPr>
              <w:rPr>
                <w:rFonts w:ascii="OpenSans-Regular" w:hAnsi="OpenSans-Regular"/>
                <w:b/>
                <w:bCs/>
                <w:i/>
                <w:color w:val="4D4D4D"/>
              </w:rPr>
            </w:pPr>
            <w:r w:rsidRPr="008209E4">
              <w:rPr>
                <w:rFonts w:ascii="OpenSans-Regular" w:hAnsi="OpenSans-Regular"/>
                <w:b/>
                <w:bCs/>
                <w:color w:val="4D4D4D"/>
              </w:rPr>
              <w:t>FAO CCRF</w:t>
            </w:r>
          </w:p>
        </w:tc>
        <w:tc>
          <w:tcPr>
            <w:tcW w:w="5174" w:type="dxa"/>
            <w:gridSpan w:val="4"/>
          </w:tcPr>
          <w:p w14:paraId="1974916D" w14:textId="1F0A4ABF" w:rsidR="00C30497" w:rsidRPr="008209E4" w:rsidRDefault="00C30497" w:rsidP="00C30497">
            <w:pPr>
              <w:rPr>
                <w:rFonts w:ascii="OpenSans-Regular" w:hAnsi="OpenSans-Regular"/>
                <w:iCs/>
                <w:color w:val="4D4D4D"/>
              </w:rPr>
            </w:pPr>
            <w:r w:rsidRPr="008209E4">
              <w:rPr>
                <w:rFonts w:ascii="OpenSans-Regular" w:hAnsi="OpenSans-Regular"/>
                <w:iCs/>
                <w:color w:val="4D4D4D"/>
              </w:rPr>
              <w:t>7.5.3</w:t>
            </w:r>
          </w:p>
        </w:tc>
      </w:tr>
      <w:tr w:rsidR="00C30497" w:rsidRPr="00556D43" w14:paraId="003BE710" w14:textId="77777777" w:rsidTr="008209E4">
        <w:trPr>
          <w:trHeight w:val="253"/>
        </w:trPr>
        <w:tc>
          <w:tcPr>
            <w:tcW w:w="5405" w:type="dxa"/>
            <w:gridSpan w:val="4"/>
          </w:tcPr>
          <w:p w14:paraId="01EE4E87" w14:textId="01CCAFA1" w:rsidR="00C30497" w:rsidRPr="008209E4" w:rsidRDefault="00C30497" w:rsidP="00C30497">
            <w:pPr>
              <w:rPr>
                <w:rFonts w:ascii="OpenSans-Regular" w:hAnsi="OpenSans-Regular"/>
                <w:b/>
                <w:bCs/>
                <w:i/>
                <w:color w:val="4D4D4D"/>
              </w:rPr>
            </w:pPr>
            <w:r w:rsidRPr="008209E4">
              <w:rPr>
                <w:rFonts w:ascii="OpenSans-Regular" w:hAnsi="OpenSans-Regular"/>
                <w:b/>
                <w:bCs/>
                <w:color w:val="4D4D4D"/>
              </w:rPr>
              <w:t xml:space="preserve">GSSI </w:t>
            </w:r>
          </w:p>
        </w:tc>
        <w:tc>
          <w:tcPr>
            <w:tcW w:w="5174" w:type="dxa"/>
            <w:gridSpan w:val="4"/>
          </w:tcPr>
          <w:p w14:paraId="2E474C03" w14:textId="6DAB5CBC" w:rsidR="00C30497" w:rsidRPr="008209E4" w:rsidRDefault="00C30497" w:rsidP="00C30497">
            <w:pPr>
              <w:rPr>
                <w:rFonts w:ascii="OpenSans-Regular" w:hAnsi="OpenSans-Regular"/>
                <w:iCs/>
                <w:color w:val="4D4D4D"/>
              </w:rPr>
            </w:pPr>
            <w:r w:rsidRPr="008209E4">
              <w:rPr>
                <w:rFonts w:ascii="OpenSans-Regular" w:hAnsi="OpenSans-Regular"/>
                <w:iCs/>
                <w:color w:val="4D4D4D"/>
              </w:rPr>
              <w:t>D.3.04</w:t>
            </w:r>
            <w:r w:rsidR="00144D3A" w:rsidRPr="008209E4">
              <w:rPr>
                <w:rFonts w:ascii="OpenSans-Regular" w:hAnsi="OpenSans-Regular"/>
                <w:iCs/>
                <w:color w:val="4D4D4D"/>
              </w:rPr>
              <w:t>, D5.01</w:t>
            </w:r>
          </w:p>
        </w:tc>
      </w:tr>
    </w:tbl>
    <w:p w14:paraId="4826D218" w14:textId="0EAEEF77" w:rsidR="00640D29" w:rsidRPr="00556D43" w:rsidRDefault="00640D29" w:rsidP="00EA2EE3">
      <w:pPr>
        <w:jc w:val="both"/>
        <w:rPr>
          <w:rFonts w:ascii="OpenSans-Regular" w:hAnsi="OpenSans-Regular"/>
        </w:rPr>
      </w:pPr>
      <w:bookmarkStart w:id="5" w:name="_CATEGORY_D_SPECIES"/>
      <w:bookmarkEnd w:id="5"/>
    </w:p>
    <w:sectPr w:rsidR="00640D29" w:rsidRPr="00556D43" w:rsidSect="00EB09B1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560" w:right="1274" w:bottom="1440" w:left="1440" w:header="708" w:footer="6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88C8" w14:textId="77777777" w:rsidR="00925992" w:rsidRDefault="00925992" w:rsidP="00E433E1">
      <w:pPr>
        <w:spacing w:after="0" w:line="240" w:lineRule="auto"/>
      </w:pPr>
      <w:r>
        <w:separator/>
      </w:r>
    </w:p>
  </w:endnote>
  <w:endnote w:type="continuationSeparator" w:id="0">
    <w:p w14:paraId="672EEAB7" w14:textId="77777777" w:rsidR="00925992" w:rsidRDefault="00925992" w:rsidP="00E433E1">
      <w:pPr>
        <w:spacing w:after="0" w:line="240" w:lineRule="auto"/>
      </w:pPr>
      <w:r>
        <w:continuationSeparator/>
      </w:r>
    </w:p>
  </w:endnote>
  <w:endnote w:type="continuationNotice" w:id="1">
    <w:p w14:paraId="3384B79F" w14:textId="77777777" w:rsidR="00925992" w:rsidRDefault="00925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Ope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E8D1" w14:textId="4F039911" w:rsidR="00C41D39" w:rsidRDefault="00C41D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140128" wp14:editId="6C5A9C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 Box 2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9F34E" w14:textId="74A7D55E" w:rsidR="00C41D39" w:rsidRPr="00C41D39" w:rsidRDefault="00C41D39" w:rsidP="00C41D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41D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40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SF Confidenti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D69F34E" w14:textId="74A7D55E" w:rsidR="00C41D39" w:rsidRPr="00C41D39" w:rsidRDefault="00C41D39" w:rsidP="00C41D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41D3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3D57" w14:textId="5D805EFD" w:rsidR="00DC22BF" w:rsidRDefault="00C41D39" w:rsidP="00556D43">
    <w:pPr>
      <w:spacing w:after="0"/>
      <w:ind w:left="-709" w:right="-306"/>
      <w:jc w:val="center"/>
      <w:rPr>
        <w:rFonts w:ascii="Open Sans" w:hAnsi="Open Sans" w:cs="Open Sans"/>
        <w:color w:val="4D4D4D"/>
        <w:sz w:val="16"/>
        <w:szCs w:val="16"/>
      </w:rPr>
    </w:pPr>
    <w:r>
      <w:rPr>
        <w:rFonts w:ascii="Open Sans" w:hAnsi="Open Sans" w:cs="Open Sans"/>
        <w:noProof/>
        <w:color w:val="4D4D4D"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C8FB6F" wp14:editId="3F8426C6">
              <wp:simplePos x="9144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" name="Text Box 3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1BC34" w14:textId="6EADEF87" w:rsidR="00C41D39" w:rsidRPr="00C41D39" w:rsidRDefault="00C41D39" w:rsidP="00C41D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41D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8FB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SF Confident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451BC34" w14:textId="6EADEF87" w:rsidR="00C41D39" w:rsidRPr="00C41D39" w:rsidRDefault="00C41D39" w:rsidP="00C41D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41D3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22BF" w:rsidRPr="001374CA">
      <w:rPr>
        <w:rFonts w:ascii="Open Sans" w:hAnsi="Open Sans" w:cs="Open Sans"/>
        <w:color w:val="4D4D4D"/>
        <w:sz w:val="16"/>
        <w:szCs w:val="16"/>
        <w:lang w:val="en-US"/>
      </w:rPr>
      <w:t xml:space="preserve">Marine Ingredients Certifications Ltd </w:t>
    </w:r>
    <w:r w:rsidR="00DC22BF" w:rsidRPr="0085371B">
      <w:rPr>
        <w:rFonts w:ascii="Open Sans" w:hAnsi="Open Sans" w:cs="Open Sans"/>
        <w:color w:val="4D4D4D"/>
        <w:sz w:val="16"/>
        <w:szCs w:val="16"/>
        <w:lang w:val="en-US"/>
      </w:rPr>
      <w:t>(09357209)</w:t>
    </w:r>
    <w:r w:rsidR="00DC22BF">
      <w:rPr>
        <w:rFonts w:ascii="Open Sans" w:hAnsi="Open Sans" w:cs="Open Sans"/>
        <w:color w:val="4D4D4D"/>
        <w:sz w:val="16"/>
        <w:szCs w:val="16"/>
        <w:lang w:val="en-US"/>
      </w:rPr>
      <w:t xml:space="preserve"> | </w:t>
    </w:r>
    <w:r w:rsidR="00DC22BF" w:rsidRPr="00913C6D">
      <w:rPr>
        <w:rFonts w:ascii="Open Sans" w:hAnsi="Open Sans" w:cs="Open Sans"/>
        <w:color w:val="4D4D4D"/>
        <w:sz w:val="16"/>
        <w:szCs w:val="16"/>
        <w:lang w:val="en-US"/>
      </w:rPr>
      <w:t xml:space="preserve">Doc FISH1- Issued </w:t>
    </w:r>
    <w:r w:rsidR="00DC22BF">
      <w:rPr>
        <w:rFonts w:ascii="Open Sans" w:hAnsi="Open Sans" w:cs="Open Sans"/>
        <w:color w:val="4D4D4D"/>
        <w:sz w:val="16"/>
        <w:szCs w:val="16"/>
      </w:rPr>
      <w:t xml:space="preserve">October </w:t>
    </w:r>
    <w:r w:rsidR="00DC22BF" w:rsidRPr="00913C6D">
      <w:rPr>
        <w:rFonts w:ascii="Open Sans" w:hAnsi="Open Sans" w:cs="Open Sans"/>
        <w:color w:val="4D4D4D"/>
        <w:sz w:val="16"/>
        <w:szCs w:val="16"/>
      </w:rPr>
      <w:t>202</w:t>
    </w:r>
    <w:r w:rsidR="00DC22BF">
      <w:rPr>
        <w:rFonts w:ascii="Open Sans" w:hAnsi="Open Sans" w:cs="Open Sans"/>
        <w:color w:val="4D4D4D"/>
        <w:sz w:val="16"/>
        <w:szCs w:val="16"/>
      </w:rPr>
      <w:t>2</w:t>
    </w:r>
    <w:r w:rsidR="00DC22BF" w:rsidRPr="00913C6D">
      <w:rPr>
        <w:rFonts w:ascii="Open Sans" w:hAnsi="Open Sans" w:cs="Open Sans"/>
        <w:color w:val="4D4D4D"/>
        <w:sz w:val="16"/>
        <w:szCs w:val="16"/>
      </w:rPr>
      <w:t xml:space="preserve"> – Version 2.</w:t>
    </w:r>
    <w:r w:rsidR="00DC22BF">
      <w:rPr>
        <w:rFonts w:ascii="Open Sans" w:hAnsi="Open Sans" w:cs="Open Sans"/>
        <w:color w:val="4D4D4D"/>
        <w:sz w:val="16"/>
        <w:szCs w:val="16"/>
      </w:rPr>
      <w:t>3</w:t>
    </w:r>
    <w:r w:rsidR="00DC22BF" w:rsidRPr="00913C6D">
      <w:rPr>
        <w:rFonts w:ascii="Open Sans" w:hAnsi="Open Sans" w:cs="Open Sans"/>
        <w:color w:val="4D4D4D"/>
        <w:sz w:val="16"/>
        <w:szCs w:val="16"/>
      </w:rPr>
      <w:t xml:space="preserve"> | Approved by Libby </w:t>
    </w:r>
    <w:proofErr w:type="spellStart"/>
    <w:r w:rsidR="00DC22BF" w:rsidRPr="00913C6D">
      <w:rPr>
        <w:rFonts w:ascii="Open Sans" w:hAnsi="Open Sans" w:cs="Open Sans"/>
        <w:color w:val="4D4D4D"/>
        <w:sz w:val="16"/>
        <w:szCs w:val="16"/>
      </w:rPr>
      <w:t>Woodhatch</w:t>
    </w:r>
    <w:proofErr w:type="spellEnd"/>
  </w:p>
  <w:p w14:paraId="2C10EB07" w14:textId="77777777" w:rsidR="00DC22BF" w:rsidRPr="00090BA8" w:rsidRDefault="00DC22BF" w:rsidP="00556D43">
    <w:pPr>
      <w:spacing w:after="0"/>
      <w:ind w:left="-709" w:right="-306"/>
      <w:jc w:val="center"/>
      <w:rPr>
        <w:rFonts w:ascii="Open Sans" w:hAnsi="Open Sans" w:cs="Open Sans"/>
        <w:color w:val="4D4D4D"/>
        <w:sz w:val="16"/>
        <w:szCs w:val="16"/>
      </w:rPr>
    </w:pPr>
    <w:r w:rsidRPr="00090BA8">
      <w:rPr>
        <w:rFonts w:ascii="Open Sans" w:hAnsi="Open Sans" w:cs="Open Sans"/>
        <w:color w:val="4D4D4D"/>
        <w:sz w:val="16"/>
        <w:szCs w:val="16"/>
      </w:rPr>
      <w:t xml:space="preserve">Controlled Copy- No unauthorised copying or alteration </w:t>
    </w:r>
    <w:proofErr w:type="gramStart"/>
    <w:r w:rsidRPr="00090BA8">
      <w:rPr>
        <w:rFonts w:ascii="Open Sans" w:hAnsi="Open Sans" w:cs="Open Sans"/>
        <w:color w:val="4D4D4D"/>
        <w:sz w:val="16"/>
        <w:szCs w:val="16"/>
      </w:rPr>
      <w:t>permitted</w:t>
    </w:r>
    <w:proofErr w:type="gramEnd"/>
  </w:p>
  <w:p w14:paraId="20153CC4" w14:textId="77777777" w:rsidR="00DC22BF" w:rsidRDefault="00DC22BF" w:rsidP="00556D43">
    <w:pPr>
      <w:spacing w:after="0"/>
      <w:ind w:left="-709" w:right="-306"/>
      <w:jc w:val="center"/>
      <w:rPr>
        <w:rFonts w:ascii="Open Sans" w:hAnsi="Open Sans" w:cs="Open Sans"/>
        <w:b/>
        <w:bCs/>
        <w:color w:val="4D4D4D"/>
        <w:sz w:val="16"/>
        <w:szCs w:val="16"/>
      </w:rPr>
    </w:pPr>
    <w:r w:rsidRPr="00090BA8">
      <w:rPr>
        <w:rFonts w:ascii="Open Sans" w:hAnsi="Open Sans" w:cs="Open Sans"/>
        <w:b/>
        <w:bCs/>
        <w:color w:val="4D4D4D"/>
        <w:sz w:val="16"/>
        <w:szCs w:val="16"/>
      </w:rPr>
      <w:t>© Marine Ingredients Certifications Ltd., for authorised use only</w:t>
    </w:r>
  </w:p>
  <w:sdt>
    <w:sdtPr>
      <w:id w:val="237142367"/>
      <w:docPartObj>
        <w:docPartGallery w:val="Page Numbers (Bottom of Page)"/>
        <w:docPartUnique/>
      </w:docPartObj>
    </w:sdtPr>
    <w:sdtEndPr>
      <w:rPr>
        <w:rFonts w:ascii="Open Sans" w:hAnsi="Open Sans" w:cs="Open Sans"/>
        <w:b/>
        <w:bCs/>
        <w:color w:val="4D4D4D"/>
        <w:sz w:val="16"/>
        <w:szCs w:val="16"/>
      </w:rPr>
    </w:sdtEndPr>
    <w:sdtContent>
      <w:sdt>
        <w:sdtPr>
          <w:rPr>
            <w:rFonts w:ascii="Open Sans" w:hAnsi="Open Sans" w:cs="Open Sans"/>
            <w:b/>
            <w:bCs/>
            <w:color w:val="4D4D4D"/>
            <w:sz w:val="16"/>
            <w:szCs w:val="16"/>
          </w:rPr>
          <w:id w:val="1919824816"/>
          <w:docPartObj>
            <w:docPartGallery w:val="Page Numbers (Top of Page)"/>
            <w:docPartUnique/>
          </w:docPartObj>
        </w:sdtPr>
        <w:sdtEndPr/>
        <w:sdtContent>
          <w:p w14:paraId="69C90125" w14:textId="77777777" w:rsidR="00DC22BF" w:rsidRPr="003C19C7" w:rsidRDefault="00DC22BF" w:rsidP="00556D43">
            <w:pPr>
              <w:pStyle w:val="Footer"/>
              <w:jc w:val="right"/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</w:pP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t xml:space="preserve">Page </w:t>
            </w: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fldChar w:fldCharType="begin"/>
            </w: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instrText xml:space="preserve"> PAGE </w:instrText>
            </w: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t>1</w:t>
            </w: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fldChar w:fldCharType="end"/>
            </w: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t xml:space="preserve"> of </w:t>
            </w: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fldChar w:fldCharType="begin"/>
            </w: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instrText xml:space="preserve"> NUMPAGES  </w:instrText>
            </w: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t>5</w:t>
            </w:r>
            <w:r w:rsidRPr="003C19C7">
              <w:rPr>
                <w:rFonts w:ascii="Open Sans" w:hAnsi="Open Sans" w:cs="Open Sans"/>
                <w:b/>
                <w:bCs/>
                <w:color w:val="4D4D4D"/>
                <w:sz w:val="16"/>
                <w:szCs w:val="16"/>
              </w:rPr>
              <w:fldChar w:fldCharType="end"/>
            </w:r>
          </w:p>
        </w:sdtContent>
      </w:sdt>
    </w:sdtContent>
  </w:sdt>
  <w:p w14:paraId="5F3DCF64" w14:textId="77777777" w:rsidR="00DC22BF" w:rsidRDefault="00DC22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8657" w14:textId="39B00084" w:rsidR="00DC22BF" w:rsidRDefault="00C41D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10A82A" wp14:editId="0E9DE5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" name="Text Box 1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E9DCD" w14:textId="694894CA" w:rsidR="00C41D39" w:rsidRPr="00C41D39" w:rsidRDefault="00C41D39" w:rsidP="00C41D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41D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0A8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SF Confidenti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B8E9DCD" w14:textId="694894CA" w:rsidR="00C41D39" w:rsidRPr="00C41D39" w:rsidRDefault="00C41D39" w:rsidP="00C41D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41D3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83F4" w14:textId="77777777" w:rsidR="00925992" w:rsidRDefault="00925992" w:rsidP="00E433E1">
      <w:pPr>
        <w:spacing w:after="0" w:line="240" w:lineRule="auto"/>
      </w:pPr>
      <w:r>
        <w:separator/>
      </w:r>
    </w:p>
  </w:footnote>
  <w:footnote w:type="continuationSeparator" w:id="0">
    <w:p w14:paraId="7A546974" w14:textId="77777777" w:rsidR="00925992" w:rsidRDefault="00925992" w:rsidP="00E433E1">
      <w:pPr>
        <w:spacing w:after="0" w:line="240" w:lineRule="auto"/>
      </w:pPr>
      <w:r>
        <w:continuationSeparator/>
      </w:r>
    </w:p>
  </w:footnote>
  <w:footnote w:type="continuationNotice" w:id="1">
    <w:p w14:paraId="2A4A85DC" w14:textId="77777777" w:rsidR="00925992" w:rsidRDefault="00925992">
      <w:pPr>
        <w:spacing w:after="0" w:line="240" w:lineRule="auto"/>
      </w:pPr>
    </w:p>
  </w:footnote>
  <w:footnote w:id="2">
    <w:p w14:paraId="55EBD776" w14:textId="77777777" w:rsidR="004B3DE2" w:rsidRPr="00C15ED8" w:rsidRDefault="004B3DE2" w:rsidP="004B3DE2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https://www.iucnredlist.org/</w:t>
        </w:r>
      </w:hyperlink>
    </w:p>
  </w:footnote>
  <w:footnote w:id="3">
    <w:p w14:paraId="53B5BB75" w14:textId="77777777" w:rsidR="004B3DE2" w:rsidRPr="0012340F" w:rsidRDefault="004B3DE2" w:rsidP="004B3DE2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https://cites.org/eng/app/appendices.php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FE1C" w14:textId="77777777" w:rsidR="001908AB" w:rsidRPr="00E433E1" w:rsidRDefault="001908AB" w:rsidP="0011681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AC4499" wp14:editId="61D085E9">
          <wp:simplePos x="0" y="0"/>
          <wp:positionH relativeFrom="column">
            <wp:posOffset>4305300</wp:posOffset>
          </wp:positionH>
          <wp:positionV relativeFrom="paragraph">
            <wp:posOffset>-335280</wp:posOffset>
          </wp:positionV>
          <wp:extent cx="2133600" cy="798830"/>
          <wp:effectExtent l="0" t="0" r="0" b="1270"/>
          <wp:wrapTight wrapText="bothSides">
            <wp:wrapPolygon edited="0">
              <wp:start x="0" y="0"/>
              <wp:lineTo x="0" y="21119"/>
              <wp:lineTo x="21407" y="21119"/>
              <wp:lineTo x="2140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DAD"/>
    <w:multiLevelType w:val="hybridMultilevel"/>
    <w:tmpl w:val="03C05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03E7"/>
    <w:multiLevelType w:val="hybridMultilevel"/>
    <w:tmpl w:val="D16A59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80A"/>
    <w:multiLevelType w:val="hybridMultilevel"/>
    <w:tmpl w:val="3A9A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27FA"/>
    <w:multiLevelType w:val="hybridMultilevel"/>
    <w:tmpl w:val="B3C61F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2B"/>
    <w:multiLevelType w:val="hybridMultilevel"/>
    <w:tmpl w:val="BE9C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0B95"/>
    <w:multiLevelType w:val="multilevel"/>
    <w:tmpl w:val="FA0C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13D9C"/>
    <w:multiLevelType w:val="hybridMultilevel"/>
    <w:tmpl w:val="9F9244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3621"/>
    <w:multiLevelType w:val="hybridMultilevel"/>
    <w:tmpl w:val="AB9AE6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1174"/>
    <w:multiLevelType w:val="hybridMultilevel"/>
    <w:tmpl w:val="5F9431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16E5"/>
    <w:multiLevelType w:val="hybridMultilevel"/>
    <w:tmpl w:val="039A99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16A8"/>
    <w:multiLevelType w:val="hybridMultilevel"/>
    <w:tmpl w:val="A41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30263"/>
    <w:multiLevelType w:val="hybridMultilevel"/>
    <w:tmpl w:val="64B018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21908"/>
    <w:multiLevelType w:val="hybridMultilevel"/>
    <w:tmpl w:val="18B893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040DA"/>
    <w:multiLevelType w:val="hybridMultilevel"/>
    <w:tmpl w:val="3C7CE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8506F"/>
    <w:multiLevelType w:val="hybridMultilevel"/>
    <w:tmpl w:val="FF480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13A02"/>
    <w:multiLevelType w:val="hybridMultilevel"/>
    <w:tmpl w:val="344EE2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76066"/>
    <w:multiLevelType w:val="hybridMultilevel"/>
    <w:tmpl w:val="DD18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64318"/>
    <w:multiLevelType w:val="hybridMultilevel"/>
    <w:tmpl w:val="5BD2F8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D12E5"/>
    <w:multiLevelType w:val="hybridMultilevel"/>
    <w:tmpl w:val="2BF605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20365"/>
    <w:multiLevelType w:val="hybridMultilevel"/>
    <w:tmpl w:val="D408B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34BA2"/>
    <w:multiLevelType w:val="hybridMultilevel"/>
    <w:tmpl w:val="977E55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A5444"/>
    <w:multiLevelType w:val="hybridMultilevel"/>
    <w:tmpl w:val="13DE985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A3753E3"/>
    <w:multiLevelType w:val="hybridMultilevel"/>
    <w:tmpl w:val="BFEC66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F65C85"/>
    <w:multiLevelType w:val="hybridMultilevel"/>
    <w:tmpl w:val="4BCC27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23E38"/>
    <w:multiLevelType w:val="hybridMultilevel"/>
    <w:tmpl w:val="68227C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003C6"/>
    <w:multiLevelType w:val="hybridMultilevel"/>
    <w:tmpl w:val="0136DC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82119"/>
    <w:multiLevelType w:val="hybridMultilevel"/>
    <w:tmpl w:val="E63E7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2234D"/>
    <w:multiLevelType w:val="hybridMultilevel"/>
    <w:tmpl w:val="F050E2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0BB6"/>
    <w:multiLevelType w:val="hybridMultilevel"/>
    <w:tmpl w:val="F636F6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01B04"/>
    <w:multiLevelType w:val="hybridMultilevel"/>
    <w:tmpl w:val="808050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3E8198C"/>
    <w:multiLevelType w:val="hybridMultilevel"/>
    <w:tmpl w:val="9846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A131D"/>
    <w:multiLevelType w:val="hybridMultilevel"/>
    <w:tmpl w:val="00D41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4326D"/>
    <w:multiLevelType w:val="hybridMultilevel"/>
    <w:tmpl w:val="8362E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84F52"/>
    <w:multiLevelType w:val="hybridMultilevel"/>
    <w:tmpl w:val="64AA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825CA7"/>
    <w:multiLevelType w:val="hybridMultilevel"/>
    <w:tmpl w:val="19728FD4"/>
    <w:lvl w:ilvl="0" w:tplc="B54A4460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F465E"/>
    <w:multiLevelType w:val="hybridMultilevel"/>
    <w:tmpl w:val="F3E437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51904"/>
    <w:multiLevelType w:val="hybridMultilevel"/>
    <w:tmpl w:val="A63A80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16B8A"/>
    <w:multiLevelType w:val="hybridMultilevel"/>
    <w:tmpl w:val="C776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03367"/>
    <w:multiLevelType w:val="hybridMultilevel"/>
    <w:tmpl w:val="7BC491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545612">
    <w:abstractNumId w:val="16"/>
  </w:num>
  <w:num w:numId="2" w16cid:durableId="1711489022">
    <w:abstractNumId w:val="10"/>
  </w:num>
  <w:num w:numId="3" w16cid:durableId="326129261">
    <w:abstractNumId w:val="31"/>
  </w:num>
  <w:num w:numId="4" w16cid:durableId="510337085">
    <w:abstractNumId w:val="9"/>
  </w:num>
  <w:num w:numId="5" w16cid:durableId="1782412392">
    <w:abstractNumId w:val="26"/>
  </w:num>
  <w:num w:numId="6" w16cid:durableId="1771848168">
    <w:abstractNumId w:val="34"/>
  </w:num>
  <w:num w:numId="7" w16cid:durableId="1753502802">
    <w:abstractNumId w:val="21"/>
  </w:num>
  <w:num w:numId="8" w16cid:durableId="481509911">
    <w:abstractNumId w:val="13"/>
  </w:num>
  <w:num w:numId="9" w16cid:durableId="1683242571">
    <w:abstractNumId w:val="33"/>
  </w:num>
  <w:num w:numId="10" w16cid:durableId="1728989163">
    <w:abstractNumId w:val="37"/>
  </w:num>
  <w:num w:numId="11" w16cid:durableId="2136094139">
    <w:abstractNumId w:val="2"/>
  </w:num>
  <w:num w:numId="12" w16cid:durableId="826629549">
    <w:abstractNumId w:val="4"/>
  </w:num>
  <w:num w:numId="13" w16cid:durableId="242108094">
    <w:abstractNumId w:val="30"/>
  </w:num>
  <w:num w:numId="14" w16cid:durableId="1447894933">
    <w:abstractNumId w:val="35"/>
  </w:num>
  <w:num w:numId="15" w16cid:durableId="1924028107">
    <w:abstractNumId w:val="5"/>
  </w:num>
  <w:num w:numId="16" w16cid:durableId="1867670973">
    <w:abstractNumId w:val="6"/>
  </w:num>
  <w:num w:numId="17" w16cid:durableId="1267032053">
    <w:abstractNumId w:val="12"/>
  </w:num>
  <w:num w:numId="18" w16cid:durableId="467935378">
    <w:abstractNumId w:val="14"/>
  </w:num>
  <w:num w:numId="19" w16cid:durableId="1976720009">
    <w:abstractNumId w:val="22"/>
  </w:num>
  <w:num w:numId="20" w16cid:durableId="1424259112">
    <w:abstractNumId w:val="28"/>
  </w:num>
  <w:num w:numId="21" w16cid:durableId="2057965300">
    <w:abstractNumId w:val="11"/>
  </w:num>
  <w:num w:numId="22" w16cid:durableId="1107504183">
    <w:abstractNumId w:val="36"/>
  </w:num>
  <w:num w:numId="23" w16cid:durableId="2091656974">
    <w:abstractNumId w:val="32"/>
  </w:num>
  <w:num w:numId="24" w16cid:durableId="2083063941">
    <w:abstractNumId w:val="29"/>
  </w:num>
  <w:num w:numId="25" w16cid:durableId="1495996086">
    <w:abstractNumId w:val="15"/>
  </w:num>
  <w:num w:numId="26" w16cid:durableId="1413968053">
    <w:abstractNumId w:val="17"/>
  </w:num>
  <w:num w:numId="27" w16cid:durableId="1664163905">
    <w:abstractNumId w:val="24"/>
  </w:num>
  <w:num w:numId="28" w16cid:durableId="737553938">
    <w:abstractNumId w:val="18"/>
  </w:num>
  <w:num w:numId="29" w16cid:durableId="1114905959">
    <w:abstractNumId w:val="25"/>
  </w:num>
  <w:num w:numId="30" w16cid:durableId="1107694166">
    <w:abstractNumId w:val="19"/>
  </w:num>
  <w:num w:numId="31" w16cid:durableId="1228226848">
    <w:abstractNumId w:val="1"/>
  </w:num>
  <w:num w:numId="32" w16cid:durableId="1188520813">
    <w:abstractNumId w:val="38"/>
  </w:num>
  <w:num w:numId="33" w16cid:durableId="93521743">
    <w:abstractNumId w:val="3"/>
  </w:num>
  <w:num w:numId="34" w16cid:durableId="959797449">
    <w:abstractNumId w:val="8"/>
  </w:num>
  <w:num w:numId="35" w16cid:durableId="914778647">
    <w:abstractNumId w:val="7"/>
  </w:num>
  <w:num w:numId="36" w16cid:durableId="1086344463">
    <w:abstractNumId w:val="27"/>
  </w:num>
  <w:num w:numId="37" w16cid:durableId="6519310">
    <w:abstractNumId w:val="23"/>
  </w:num>
  <w:num w:numId="38" w16cid:durableId="262537999">
    <w:abstractNumId w:val="0"/>
  </w:num>
  <w:num w:numId="39" w16cid:durableId="7770225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U3MDawNDUzMDQzMrJQ0lEKTi0uzszPAykwqgUADDwfniwAAAA="/>
  </w:docVars>
  <w:rsids>
    <w:rsidRoot w:val="00F10E19"/>
    <w:rsid w:val="00007C2E"/>
    <w:rsid w:val="00010510"/>
    <w:rsid w:val="00010C36"/>
    <w:rsid w:val="00014905"/>
    <w:rsid w:val="00015E66"/>
    <w:rsid w:val="00017781"/>
    <w:rsid w:val="00024F82"/>
    <w:rsid w:val="00026AF4"/>
    <w:rsid w:val="0003204D"/>
    <w:rsid w:val="00033D99"/>
    <w:rsid w:val="00035182"/>
    <w:rsid w:val="00036F4A"/>
    <w:rsid w:val="00044700"/>
    <w:rsid w:val="000447DA"/>
    <w:rsid w:val="0004756F"/>
    <w:rsid w:val="0005275F"/>
    <w:rsid w:val="000562DB"/>
    <w:rsid w:val="00056985"/>
    <w:rsid w:val="00061EC0"/>
    <w:rsid w:val="00064A88"/>
    <w:rsid w:val="00072CAF"/>
    <w:rsid w:val="00080400"/>
    <w:rsid w:val="00084A63"/>
    <w:rsid w:val="00085846"/>
    <w:rsid w:val="0009043A"/>
    <w:rsid w:val="00091FF2"/>
    <w:rsid w:val="00092728"/>
    <w:rsid w:val="00095553"/>
    <w:rsid w:val="00096D81"/>
    <w:rsid w:val="000A0171"/>
    <w:rsid w:val="000A165E"/>
    <w:rsid w:val="000A3E9C"/>
    <w:rsid w:val="000A5E0B"/>
    <w:rsid w:val="000B1676"/>
    <w:rsid w:val="000C03E7"/>
    <w:rsid w:val="000D5CD6"/>
    <w:rsid w:val="000E02F0"/>
    <w:rsid w:val="000E6DC5"/>
    <w:rsid w:val="000E7758"/>
    <w:rsid w:val="000F16B3"/>
    <w:rsid w:val="000F2EA5"/>
    <w:rsid w:val="000F5A5C"/>
    <w:rsid w:val="000F5E0E"/>
    <w:rsid w:val="000F62FE"/>
    <w:rsid w:val="0010275D"/>
    <w:rsid w:val="00104712"/>
    <w:rsid w:val="00104A8C"/>
    <w:rsid w:val="00106584"/>
    <w:rsid w:val="001133A0"/>
    <w:rsid w:val="00113F52"/>
    <w:rsid w:val="0011681C"/>
    <w:rsid w:val="0012027B"/>
    <w:rsid w:val="00125AC5"/>
    <w:rsid w:val="001265AA"/>
    <w:rsid w:val="00126DB1"/>
    <w:rsid w:val="00127AA7"/>
    <w:rsid w:val="00127C3D"/>
    <w:rsid w:val="0013033B"/>
    <w:rsid w:val="001351F2"/>
    <w:rsid w:val="001401D1"/>
    <w:rsid w:val="00144D3A"/>
    <w:rsid w:val="001616F1"/>
    <w:rsid w:val="0016196C"/>
    <w:rsid w:val="00177941"/>
    <w:rsid w:val="001779A0"/>
    <w:rsid w:val="001908AB"/>
    <w:rsid w:val="001932D7"/>
    <w:rsid w:val="00194BF6"/>
    <w:rsid w:val="001A15B4"/>
    <w:rsid w:val="001A1F63"/>
    <w:rsid w:val="001A7A00"/>
    <w:rsid w:val="001B2C72"/>
    <w:rsid w:val="001B2DBB"/>
    <w:rsid w:val="001B5F0B"/>
    <w:rsid w:val="001B7E09"/>
    <w:rsid w:val="001C018E"/>
    <w:rsid w:val="001C5FEF"/>
    <w:rsid w:val="001C752A"/>
    <w:rsid w:val="001D11E7"/>
    <w:rsid w:val="001D3130"/>
    <w:rsid w:val="001D5CF1"/>
    <w:rsid w:val="001E2803"/>
    <w:rsid w:val="001E51A0"/>
    <w:rsid w:val="001E76CB"/>
    <w:rsid w:val="001E7D8F"/>
    <w:rsid w:val="001F230D"/>
    <w:rsid w:val="001F339A"/>
    <w:rsid w:val="001F43FE"/>
    <w:rsid w:val="001F5B14"/>
    <w:rsid w:val="001F7101"/>
    <w:rsid w:val="001F73C0"/>
    <w:rsid w:val="001F7E1F"/>
    <w:rsid w:val="00201177"/>
    <w:rsid w:val="00205E94"/>
    <w:rsid w:val="00207E05"/>
    <w:rsid w:val="00211A47"/>
    <w:rsid w:val="00213A41"/>
    <w:rsid w:val="0022439A"/>
    <w:rsid w:val="00224BCA"/>
    <w:rsid w:val="00225D9A"/>
    <w:rsid w:val="00226152"/>
    <w:rsid w:val="00234214"/>
    <w:rsid w:val="00237D1F"/>
    <w:rsid w:val="002449C0"/>
    <w:rsid w:val="00244B28"/>
    <w:rsid w:val="0024772B"/>
    <w:rsid w:val="00252441"/>
    <w:rsid w:val="00254BB1"/>
    <w:rsid w:val="00262919"/>
    <w:rsid w:val="00270373"/>
    <w:rsid w:val="0027275C"/>
    <w:rsid w:val="00273E41"/>
    <w:rsid w:val="00274588"/>
    <w:rsid w:val="002767FE"/>
    <w:rsid w:val="002831C5"/>
    <w:rsid w:val="00284534"/>
    <w:rsid w:val="00287034"/>
    <w:rsid w:val="00287743"/>
    <w:rsid w:val="00293458"/>
    <w:rsid w:val="00294D50"/>
    <w:rsid w:val="002A10FD"/>
    <w:rsid w:val="002A2A6B"/>
    <w:rsid w:val="002A5DC4"/>
    <w:rsid w:val="002B33E5"/>
    <w:rsid w:val="002B5A8C"/>
    <w:rsid w:val="002C30E2"/>
    <w:rsid w:val="002C479D"/>
    <w:rsid w:val="002D3E9F"/>
    <w:rsid w:val="002D731A"/>
    <w:rsid w:val="002E08A0"/>
    <w:rsid w:val="002E7271"/>
    <w:rsid w:val="002E77C0"/>
    <w:rsid w:val="002F5171"/>
    <w:rsid w:val="002F59F7"/>
    <w:rsid w:val="00307CD4"/>
    <w:rsid w:val="0031032C"/>
    <w:rsid w:val="00310B7F"/>
    <w:rsid w:val="00313454"/>
    <w:rsid w:val="00320671"/>
    <w:rsid w:val="00323542"/>
    <w:rsid w:val="003321A8"/>
    <w:rsid w:val="0033288B"/>
    <w:rsid w:val="00340A9F"/>
    <w:rsid w:val="0034532A"/>
    <w:rsid w:val="003523F4"/>
    <w:rsid w:val="0035691E"/>
    <w:rsid w:val="00357D40"/>
    <w:rsid w:val="003607A8"/>
    <w:rsid w:val="00360EA9"/>
    <w:rsid w:val="00371EC6"/>
    <w:rsid w:val="00376B34"/>
    <w:rsid w:val="0038321A"/>
    <w:rsid w:val="00386F73"/>
    <w:rsid w:val="003918CF"/>
    <w:rsid w:val="00391B90"/>
    <w:rsid w:val="00392AA7"/>
    <w:rsid w:val="003A500C"/>
    <w:rsid w:val="003A7A97"/>
    <w:rsid w:val="003A7C4D"/>
    <w:rsid w:val="003B0833"/>
    <w:rsid w:val="003C5A85"/>
    <w:rsid w:val="003D11A0"/>
    <w:rsid w:val="003D31F1"/>
    <w:rsid w:val="003D3BEE"/>
    <w:rsid w:val="003E0943"/>
    <w:rsid w:val="003E3805"/>
    <w:rsid w:val="003E5C01"/>
    <w:rsid w:val="003E6305"/>
    <w:rsid w:val="003E7D08"/>
    <w:rsid w:val="003F247D"/>
    <w:rsid w:val="003F464C"/>
    <w:rsid w:val="003F604A"/>
    <w:rsid w:val="003F686D"/>
    <w:rsid w:val="004035EE"/>
    <w:rsid w:val="00406789"/>
    <w:rsid w:val="00407A68"/>
    <w:rsid w:val="00412708"/>
    <w:rsid w:val="00413C4F"/>
    <w:rsid w:val="00417FDF"/>
    <w:rsid w:val="00423CCC"/>
    <w:rsid w:val="00431285"/>
    <w:rsid w:val="004356C5"/>
    <w:rsid w:val="004410E7"/>
    <w:rsid w:val="00442E57"/>
    <w:rsid w:val="00447A37"/>
    <w:rsid w:val="00464CA9"/>
    <w:rsid w:val="00466CD5"/>
    <w:rsid w:val="00470C47"/>
    <w:rsid w:val="00472F13"/>
    <w:rsid w:val="004771F3"/>
    <w:rsid w:val="00477A85"/>
    <w:rsid w:val="00483F3E"/>
    <w:rsid w:val="00484A77"/>
    <w:rsid w:val="004900EB"/>
    <w:rsid w:val="0049453F"/>
    <w:rsid w:val="004976C0"/>
    <w:rsid w:val="004A0F9F"/>
    <w:rsid w:val="004A3ADD"/>
    <w:rsid w:val="004A7577"/>
    <w:rsid w:val="004B3DE2"/>
    <w:rsid w:val="004B73DF"/>
    <w:rsid w:val="004C028C"/>
    <w:rsid w:val="004C02EE"/>
    <w:rsid w:val="004C402C"/>
    <w:rsid w:val="004C574D"/>
    <w:rsid w:val="004C79C2"/>
    <w:rsid w:val="004C7A35"/>
    <w:rsid w:val="004D0BA1"/>
    <w:rsid w:val="004D1E7E"/>
    <w:rsid w:val="004D4F07"/>
    <w:rsid w:val="004E0F21"/>
    <w:rsid w:val="004E6FF1"/>
    <w:rsid w:val="004F0DE3"/>
    <w:rsid w:val="004F2039"/>
    <w:rsid w:val="004F23D0"/>
    <w:rsid w:val="004F4235"/>
    <w:rsid w:val="00506953"/>
    <w:rsid w:val="00511BBB"/>
    <w:rsid w:val="00512C8D"/>
    <w:rsid w:val="00515597"/>
    <w:rsid w:val="005224C7"/>
    <w:rsid w:val="00524ACC"/>
    <w:rsid w:val="00526E1F"/>
    <w:rsid w:val="00531BD3"/>
    <w:rsid w:val="00532A98"/>
    <w:rsid w:val="00534E89"/>
    <w:rsid w:val="00535A2D"/>
    <w:rsid w:val="00535B10"/>
    <w:rsid w:val="0053725B"/>
    <w:rsid w:val="0053732A"/>
    <w:rsid w:val="00541A29"/>
    <w:rsid w:val="00543949"/>
    <w:rsid w:val="00553B63"/>
    <w:rsid w:val="0055679C"/>
    <w:rsid w:val="005569EC"/>
    <w:rsid w:val="00556D43"/>
    <w:rsid w:val="005573A8"/>
    <w:rsid w:val="00557CED"/>
    <w:rsid w:val="00563454"/>
    <w:rsid w:val="00563F54"/>
    <w:rsid w:val="00590CB1"/>
    <w:rsid w:val="005945AB"/>
    <w:rsid w:val="00595170"/>
    <w:rsid w:val="0059638B"/>
    <w:rsid w:val="005A69C8"/>
    <w:rsid w:val="005B08CC"/>
    <w:rsid w:val="005B532E"/>
    <w:rsid w:val="005C0660"/>
    <w:rsid w:val="005C1570"/>
    <w:rsid w:val="005C55CD"/>
    <w:rsid w:val="005D29B9"/>
    <w:rsid w:val="005E012D"/>
    <w:rsid w:val="005E447F"/>
    <w:rsid w:val="005E6DBE"/>
    <w:rsid w:val="005F1FAE"/>
    <w:rsid w:val="00622E85"/>
    <w:rsid w:val="00624336"/>
    <w:rsid w:val="006246D1"/>
    <w:rsid w:val="00626B11"/>
    <w:rsid w:val="006325EE"/>
    <w:rsid w:val="00637772"/>
    <w:rsid w:val="00640D29"/>
    <w:rsid w:val="0064247B"/>
    <w:rsid w:val="006506CA"/>
    <w:rsid w:val="00653A0B"/>
    <w:rsid w:val="00663447"/>
    <w:rsid w:val="006640F8"/>
    <w:rsid w:val="00685F4C"/>
    <w:rsid w:val="00686124"/>
    <w:rsid w:val="00693470"/>
    <w:rsid w:val="006A0242"/>
    <w:rsid w:val="006A29C9"/>
    <w:rsid w:val="006A5D9A"/>
    <w:rsid w:val="006B182B"/>
    <w:rsid w:val="006B6EAE"/>
    <w:rsid w:val="006C6955"/>
    <w:rsid w:val="006D443F"/>
    <w:rsid w:val="006D4A8E"/>
    <w:rsid w:val="006E1B33"/>
    <w:rsid w:val="006F0C57"/>
    <w:rsid w:val="006F1362"/>
    <w:rsid w:val="006F1AFE"/>
    <w:rsid w:val="006F3577"/>
    <w:rsid w:val="006F417D"/>
    <w:rsid w:val="00701029"/>
    <w:rsid w:val="00702F33"/>
    <w:rsid w:val="007048B0"/>
    <w:rsid w:val="00706EBF"/>
    <w:rsid w:val="00711B19"/>
    <w:rsid w:val="00716C61"/>
    <w:rsid w:val="00717172"/>
    <w:rsid w:val="0072142A"/>
    <w:rsid w:val="00723498"/>
    <w:rsid w:val="00725B25"/>
    <w:rsid w:val="007370EA"/>
    <w:rsid w:val="00745561"/>
    <w:rsid w:val="00746F1A"/>
    <w:rsid w:val="00751A7F"/>
    <w:rsid w:val="00757EE9"/>
    <w:rsid w:val="007622E7"/>
    <w:rsid w:val="0076323E"/>
    <w:rsid w:val="00764D79"/>
    <w:rsid w:val="00767E3D"/>
    <w:rsid w:val="00773216"/>
    <w:rsid w:val="00775117"/>
    <w:rsid w:val="00777E95"/>
    <w:rsid w:val="00780669"/>
    <w:rsid w:val="00786905"/>
    <w:rsid w:val="00791B19"/>
    <w:rsid w:val="007A21B9"/>
    <w:rsid w:val="007B4E04"/>
    <w:rsid w:val="007B6B51"/>
    <w:rsid w:val="007B78B9"/>
    <w:rsid w:val="007C3830"/>
    <w:rsid w:val="007C4FF6"/>
    <w:rsid w:val="007D01C2"/>
    <w:rsid w:val="007D23B6"/>
    <w:rsid w:val="007D5A02"/>
    <w:rsid w:val="007D6501"/>
    <w:rsid w:val="007D6AC4"/>
    <w:rsid w:val="007E08C8"/>
    <w:rsid w:val="007E1733"/>
    <w:rsid w:val="007E6988"/>
    <w:rsid w:val="007F4943"/>
    <w:rsid w:val="007F5101"/>
    <w:rsid w:val="007F6001"/>
    <w:rsid w:val="00803985"/>
    <w:rsid w:val="00807377"/>
    <w:rsid w:val="0081329B"/>
    <w:rsid w:val="008209E4"/>
    <w:rsid w:val="00830861"/>
    <w:rsid w:val="00830B6D"/>
    <w:rsid w:val="0083268C"/>
    <w:rsid w:val="00832871"/>
    <w:rsid w:val="00833613"/>
    <w:rsid w:val="00843246"/>
    <w:rsid w:val="00850DEB"/>
    <w:rsid w:val="008572C9"/>
    <w:rsid w:val="008629FA"/>
    <w:rsid w:val="00866B69"/>
    <w:rsid w:val="00867424"/>
    <w:rsid w:val="00873242"/>
    <w:rsid w:val="008772EE"/>
    <w:rsid w:val="008846D3"/>
    <w:rsid w:val="008A3537"/>
    <w:rsid w:val="008B27A9"/>
    <w:rsid w:val="008B36A2"/>
    <w:rsid w:val="008B3AFE"/>
    <w:rsid w:val="008C0148"/>
    <w:rsid w:val="008C7738"/>
    <w:rsid w:val="008D1FC1"/>
    <w:rsid w:val="008D449C"/>
    <w:rsid w:val="008D4A60"/>
    <w:rsid w:val="008D5982"/>
    <w:rsid w:val="008D676C"/>
    <w:rsid w:val="008D7737"/>
    <w:rsid w:val="008F6598"/>
    <w:rsid w:val="008F6F82"/>
    <w:rsid w:val="0090241B"/>
    <w:rsid w:val="009106EB"/>
    <w:rsid w:val="00913C6D"/>
    <w:rsid w:val="009140B6"/>
    <w:rsid w:val="00917C5D"/>
    <w:rsid w:val="00920A15"/>
    <w:rsid w:val="00921025"/>
    <w:rsid w:val="00923621"/>
    <w:rsid w:val="00925992"/>
    <w:rsid w:val="009266A1"/>
    <w:rsid w:val="00930380"/>
    <w:rsid w:val="009417B7"/>
    <w:rsid w:val="00943E87"/>
    <w:rsid w:val="0094426C"/>
    <w:rsid w:val="009457A2"/>
    <w:rsid w:val="0095115E"/>
    <w:rsid w:val="00952541"/>
    <w:rsid w:val="00954B97"/>
    <w:rsid w:val="00954F92"/>
    <w:rsid w:val="00957F41"/>
    <w:rsid w:val="009801F1"/>
    <w:rsid w:val="00990860"/>
    <w:rsid w:val="00993715"/>
    <w:rsid w:val="0099529F"/>
    <w:rsid w:val="0099621C"/>
    <w:rsid w:val="009B0CC7"/>
    <w:rsid w:val="009B1B22"/>
    <w:rsid w:val="009B22A3"/>
    <w:rsid w:val="009B4434"/>
    <w:rsid w:val="009B52D0"/>
    <w:rsid w:val="009C7C67"/>
    <w:rsid w:val="009D02B8"/>
    <w:rsid w:val="009D3240"/>
    <w:rsid w:val="009D710A"/>
    <w:rsid w:val="009E458B"/>
    <w:rsid w:val="009E5D33"/>
    <w:rsid w:val="009E7049"/>
    <w:rsid w:val="00A000BE"/>
    <w:rsid w:val="00A010CC"/>
    <w:rsid w:val="00A04409"/>
    <w:rsid w:val="00A133CC"/>
    <w:rsid w:val="00A15426"/>
    <w:rsid w:val="00A15BEB"/>
    <w:rsid w:val="00A20246"/>
    <w:rsid w:val="00A21957"/>
    <w:rsid w:val="00A30C70"/>
    <w:rsid w:val="00A313F1"/>
    <w:rsid w:val="00A347CC"/>
    <w:rsid w:val="00A35A1F"/>
    <w:rsid w:val="00A3705A"/>
    <w:rsid w:val="00A37CB4"/>
    <w:rsid w:val="00A42214"/>
    <w:rsid w:val="00A51DE4"/>
    <w:rsid w:val="00A52E95"/>
    <w:rsid w:val="00A55120"/>
    <w:rsid w:val="00A56172"/>
    <w:rsid w:val="00A622C0"/>
    <w:rsid w:val="00A624A8"/>
    <w:rsid w:val="00A627EF"/>
    <w:rsid w:val="00A64029"/>
    <w:rsid w:val="00A643B1"/>
    <w:rsid w:val="00A66175"/>
    <w:rsid w:val="00A70ECA"/>
    <w:rsid w:val="00A73B5F"/>
    <w:rsid w:val="00A75A61"/>
    <w:rsid w:val="00A76625"/>
    <w:rsid w:val="00A8092C"/>
    <w:rsid w:val="00A909A5"/>
    <w:rsid w:val="00A94215"/>
    <w:rsid w:val="00AA1FE1"/>
    <w:rsid w:val="00AB408C"/>
    <w:rsid w:val="00AB4158"/>
    <w:rsid w:val="00AB4FEA"/>
    <w:rsid w:val="00AB682D"/>
    <w:rsid w:val="00AC142B"/>
    <w:rsid w:val="00AD463E"/>
    <w:rsid w:val="00AD5CE5"/>
    <w:rsid w:val="00AE3D7B"/>
    <w:rsid w:val="00AE549B"/>
    <w:rsid w:val="00AF1228"/>
    <w:rsid w:val="00AF27B4"/>
    <w:rsid w:val="00AF4B44"/>
    <w:rsid w:val="00B04E75"/>
    <w:rsid w:val="00B0686B"/>
    <w:rsid w:val="00B15FDC"/>
    <w:rsid w:val="00B213EF"/>
    <w:rsid w:val="00B21F9A"/>
    <w:rsid w:val="00B237C2"/>
    <w:rsid w:val="00B24DE1"/>
    <w:rsid w:val="00B27508"/>
    <w:rsid w:val="00B36906"/>
    <w:rsid w:val="00B37F7B"/>
    <w:rsid w:val="00B4290B"/>
    <w:rsid w:val="00B429E4"/>
    <w:rsid w:val="00B5409F"/>
    <w:rsid w:val="00B557E7"/>
    <w:rsid w:val="00B6476F"/>
    <w:rsid w:val="00B64B4D"/>
    <w:rsid w:val="00B70129"/>
    <w:rsid w:val="00B74FB1"/>
    <w:rsid w:val="00B85C77"/>
    <w:rsid w:val="00B918DC"/>
    <w:rsid w:val="00BA0652"/>
    <w:rsid w:val="00BA1B25"/>
    <w:rsid w:val="00BB00DF"/>
    <w:rsid w:val="00BB0125"/>
    <w:rsid w:val="00BB2334"/>
    <w:rsid w:val="00BB270F"/>
    <w:rsid w:val="00BB4E1A"/>
    <w:rsid w:val="00BC2883"/>
    <w:rsid w:val="00BC2A55"/>
    <w:rsid w:val="00BC52B4"/>
    <w:rsid w:val="00BD7AA8"/>
    <w:rsid w:val="00BE3A91"/>
    <w:rsid w:val="00BE5609"/>
    <w:rsid w:val="00BF09CE"/>
    <w:rsid w:val="00BF306F"/>
    <w:rsid w:val="00BF6A52"/>
    <w:rsid w:val="00BF783E"/>
    <w:rsid w:val="00BF7CAB"/>
    <w:rsid w:val="00C00804"/>
    <w:rsid w:val="00C01BA8"/>
    <w:rsid w:val="00C07A67"/>
    <w:rsid w:val="00C14244"/>
    <w:rsid w:val="00C14783"/>
    <w:rsid w:val="00C239C2"/>
    <w:rsid w:val="00C24AE0"/>
    <w:rsid w:val="00C30497"/>
    <w:rsid w:val="00C32FB3"/>
    <w:rsid w:val="00C4025C"/>
    <w:rsid w:val="00C4161A"/>
    <w:rsid w:val="00C41D39"/>
    <w:rsid w:val="00C575A9"/>
    <w:rsid w:val="00C6128E"/>
    <w:rsid w:val="00C61873"/>
    <w:rsid w:val="00C77893"/>
    <w:rsid w:val="00C8180A"/>
    <w:rsid w:val="00C82AA8"/>
    <w:rsid w:val="00C9499B"/>
    <w:rsid w:val="00C94FBE"/>
    <w:rsid w:val="00C96398"/>
    <w:rsid w:val="00C96EE1"/>
    <w:rsid w:val="00C97027"/>
    <w:rsid w:val="00C9712E"/>
    <w:rsid w:val="00CA47D4"/>
    <w:rsid w:val="00CA53B1"/>
    <w:rsid w:val="00CB0AE2"/>
    <w:rsid w:val="00CB1470"/>
    <w:rsid w:val="00CC1FAA"/>
    <w:rsid w:val="00CC2A5A"/>
    <w:rsid w:val="00CC5EEC"/>
    <w:rsid w:val="00CD3295"/>
    <w:rsid w:val="00CD4C2E"/>
    <w:rsid w:val="00CF2CFF"/>
    <w:rsid w:val="00CF6F85"/>
    <w:rsid w:val="00CF7196"/>
    <w:rsid w:val="00D03112"/>
    <w:rsid w:val="00D04C43"/>
    <w:rsid w:val="00D05332"/>
    <w:rsid w:val="00D059C1"/>
    <w:rsid w:val="00D10093"/>
    <w:rsid w:val="00D11100"/>
    <w:rsid w:val="00D1153F"/>
    <w:rsid w:val="00D1326B"/>
    <w:rsid w:val="00D13EA1"/>
    <w:rsid w:val="00D14FC4"/>
    <w:rsid w:val="00D22AF8"/>
    <w:rsid w:val="00D24FEC"/>
    <w:rsid w:val="00D30A4B"/>
    <w:rsid w:val="00D312E7"/>
    <w:rsid w:val="00D37129"/>
    <w:rsid w:val="00D37D55"/>
    <w:rsid w:val="00D4397F"/>
    <w:rsid w:val="00D43D32"/>
    <w:rsid w:val="00D44E6F"/>
    <w:rsid w:val="00D45951"/>
    <w:rsid w:val="00D45D77"/>
    <w:rsid w:val="00D516D6"/>
    <w:rsid w:val="00D5573B"/>
    <w:rsid w:val="00D61A13"/>
    <w:rsid w:val="00D64E29"/>
    <w:rsid w:val="00D7627E"/>
    <w:rsid w:val="00D84C74"/>
    <w:rsid w:val="00D91649"/>
    <w:rsid w:val="00D91F9B"/>
    <w:rsid w:val="00D954AD"/>
    <w:rsid w:val="00D95C0E"/>
    <w:rsid w:val="00D96539"/>
    <w:rsid w:val="00D96B7E"/>
    <w:rsid w:val="00DA2A73"/>
    <w:rsid w:val="00DA5E21"/>
    <w:rsid w:val="00DA6787"/>
    <w:rsid w:val="00DB3C90"/>
    <w:rsid w:val="00DB5EC0"/>
    <w:rsid w:val="00DC22BF"/>
    <w:rsid w:val="00DC5261"/>
    <w:rsid w:val="00DD126D"/>
    <w:rsid w:val="00DD32DF"/>
    <w:rsid w:val="00DD3A5A"/>
    <w:rsid w:val="00DD3DF4"/>
    <w:rsid w:val="00DD4CCD"/>
    <w:rsid w:val="00DD64CF"/>
    <w:rsid w:val="00DD7C1A"/>
    <w:rsid w:val="00DE1943"/>
    <w:rsid w:val="00DE4B1D"/>
    <w:rsid w:val="00DF03B6"/>
    <w:rsid w:val="00DF4591"/>
    <w:rsid w:val="00DF46BD"/>
    <w:rsid w:val="00DF4A13"/>
    <w:rsid w:val="00E01832"/>
    <w:rsid w:val="00E053CD"/>
    <w:rsid w:val="00E05C2D"/>
    <w:rsid w:val="00E11A8A"/>
    <w:rsid w:val="00E149DD"/>
    <w:rsid w:val="00E155A0"/>
    <w:rsid w:val="00E15959"/>
    <w:rsid w:val="00E17D50"/>
    <w:rsid w:val="00E207E6"/>
    <w:rsid w:val="00E24314"/>
    <w:rsid w:val="00E27A31"/>
    <w:rsid w:val="00E27E38"/>
    <w:rsid w:val="00E31248"/>
    <w:rsid w:val="00E3184D"/>
    <w:rsid w:val="00E336CA"/>
    <w:rsid w:val="00E33EB0"/>
    <w:rsid w:val="00E34532"/>
    <w:rsid w:val="00E40EB8"/>
    <w:rsid w:val="00E433E1"/>
    <w:rsid w:val="00E46099"/>
    <w:rsid w:val="00E54C98"/>
    <w:rsid w:val="00E5685F"/>
    <w:rsid w:val="00E62D0A"/>
    <w:rsid w:val="00E639A4"/>
    <w:rsid w:val="00E73169"/>
    <w:rsid w:val="00E75414"/>
    <w:rsid w:val="00E809F2"/>
    <w:rsid w:val="00E80BB8"/>
    <w:rsid w:val="00E8432F"/>
    <w:rsid w:val="00E84DCE"/>
    <w:rsid w:val="00E85929"/>
    <w:rsid w:val="00E9131F"/>
    <w:rsid w:val="00E91D5E"/>
    <w:rsid w:val="00EA085F"/>
    <w:rsid w:val="00EA0AB9"/>
    <w:rsid w:val="00EA2EE3"/>
    <w:rsid w:val="00EA4004"/>
    <w:rsid w:val="00EA5E2D"/>
    <w:rsid w:val="00EB09B1"/>
    <w:rsid w:val="00EB2012"/>
    <w:rsid w:val="00EB4A11"/>
    <w:rsid w:val="00EB5D0D"/>
    <w:rsid w:val="00EB5F17"/>
    <w:rsid w:val="00EC2762"/>
    <w:rsid w:val="00EC402B"/>
    <w:rsid w:val="00EC4962"/>
    <w:rsid w:val="00ED0A3B"/>
    <w:rsid w:val="00ED436B"/>
    <w:rsid w:val="00ED640A"/>
    <w:rsid w:val="00EE0E29"/>
    <w:rsid w:val="00EE12CD"/>
    <w:rsid w:val="00EE260F"/>
    <w:rsid w:val="00EE274C"/>
    <w:rsid w:val="00EE2D2C"/>
    <w:rsid w:val="00EE31A3"/>
    <w:rsid w:val="00EE3C76"/>
    <w:rsid w:val="00EE47E9"/>
    <w:rsid w:val="00EE58BA"/>
    <w:rsid w:val="00F01427"/>
    <w:rsid w:val="00F05A07"/>
    <w:rsid w:val="00F074D1"/>
    <w:rsid w:val="00F10E19"/>
    <w:rsid w:val="00F123B5"/>
    <w:rsid w:val="00F1355F"/>
    <w:rsid w:val="00F13C7B"/>
    <w:rsid w:val="00F22136"/>
    <w:rsid w:val="00F30EA2"/>
    <w:rsid w:val="00F428D0"/>
    <w:rsid w:val="00F4361F"/>
    <w:rsid w:val="00F47CCE"/>
    <w:rsid w:val="00F53809"/>
    <w:rsid w:val="00F54EEC"/>
    <w:rsid w:val="00F560E5"/>
    <w:rsid w:val="00F56B2C"/>
    <w:rsid w:val="00F61769"/>
    <w:rsid w:val="00F640E2"/>
    <w:rsid w:val="00F708F4"/>
    <w:rsid w:val="00F70D19"/>
    <w:rsid w:val="00F7724C"/>
    <w:rsid w:val="00F8042F"/>
    <w:rsid w:val="00F8623C"/>
    <w:rsid w:val="00F86E46"/>
    <w:rsid w:val="00F87516"/>
    <w:rsid w:val="00F87CE5"/>
    <w:rsid w:val="00F90927"/>
    <w:rsid w:val="00F92324"/>
    <w:rsid w:val="00F9383A"/>
    <w:rsid w:val="00F97A60"/>
    <w:rsid w:val="00F97CB0"/>
    <w:rsid w:val="00FA1A78"/>
    <w:rsid w:val="00FA646C"/>
    <w:rsid w:val="00FB0B8C"/>
    <w:rsid w:val="00FB26F5"/>
    <w:rsid w:val="00FC10FB"/>
    <w:rsid w:val="00FC6B72"/>
    <w:rsid w:val="00FC71ED"/>
    <w:rsid w:val="00FD0599"/>
    <w:rsid w:val="00FE37CA"/>
    <w:rsid w:val="00FF182B"/>
    <w:rsid w:val="00FF2E3E"/>
    <w:rsid w:val="00FF4709"/>
    <w:rsid w:val="00FF5DAA"/>
    <w:rsid w:val="1E75EADC"/>
    <w:rsid w:val="35D673F8"/>
    <w:rsid w:val="577F04A7"/>
    <w:rsid w:val="5B3EA78A"/>
    <w:rsid w:val="64F3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C8660"/>
  <w15:docId w15:val="{C2D0EDD9-CBE8-4766-9B39-6A2F657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29"/>
  </w:style>
  <w:style w:type="paragraph" w:styleId="Heading1">
    <w:name w:val="heading 1"/>
    <w:basedOn w:val="Normal"/>
    <w:next w:val="Normal"/>
    <w:link w:val="Heading1Char"/>
    <w:uiPriority w:val="9"/>
    <w:qFormat/>
    <w:rsid w:val="00640D2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D2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D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D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D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D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D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D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40D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D2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Header">
    <w:name w:val="header"/>
    <w:basedOn w:val="Normal"/>
    <w:link w:val="HeaderChar"/>
    <w:unhideWhenUsed/>
    <w:rsid w:val="00E43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3E1"/>
  </w:style>
  <w:style w:type="paragraph" w:styleId="Footer">
    <w:name w:val="footer"/>
    <w:basedOn w:val="Normal"/>
    <w:link w:val="FooterChar"/>
    <w:uiPriority w:val="99"/>
    <w:unhideWhenUsed/>
    <w:rsid w:val="00E43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3E1"/>
  </w:style>
  <w:style w:type="character" w:customStyle="1" w:styleId="Heading1Char">
    <w:name w:val="Heading 1 Char"/>
    <w:basedOn w:val="DefaultParagraphFont"/>
    <w:link w:val="Heading1"/>
    <w:uiPriority w:val="9"/>
    <w:rsid w:val="00640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0D2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0D2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7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C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C7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C67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40D2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Hyperlink">
    <w:name w:val="Hyperlink"/>
    <w:basedOn w:val="DefaultParagraphFont"/>
    <w:uiPriority w:val="99"/>
    <w:unhideWhenUsed/>
    <w:rsid w:val="00BC288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33EB0"/>
    <w:pPr>
      <w:spacing w:after="0" w:line="240" w:lineRule="auto"/>
      <w:jc w:val="both"/>
    </w:pPr>
    <w:rPr>
      <w:rFonts w:ascii="Courier New" w:eastAsia="Times New Roman" w:hAnsi="Courier New" w:cs="Courier New"/>
      <w:szCs w:val="24"/>
    </w:rPr>
  </w:style>
  <w:style w:type="character" w:customStyle="1" w:styleId="BodyTextChar">
    <w:name w:val="Body Text Char"/>
    <w:basedOn w:val="DefaultParagraphFont"/>
    <w:link w:val="BodyText"/>
    <w:rsid w:val="00E33EB0"/>
    <w:rPr>
      <w:rFonts w:ascii="Courier New" w:eastAsia="Times New Roman" w:hAnsi="Courier New" w:cs="Courier New"/>
      <w:szCs w:val="24"/>
    </w:rPr>
  </w:style>
  <w:style w:type="paragraph" w:styleId="NoSpacing">
    <w:name w:val="No Spacing"/>
    <w:uiPriority w:val="1"/>
    <w:qFormat/>
    <w:rsid w:val="00640D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066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E7D08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F938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83A"/>
    <w:rPr>
      <w:color w:val="800080" w:themeColor="followedHyperlink"/>
      <w:u w:val="single"/>
    </w:rPr>
  </w:style>
  <w:style w:type="paragraph" w:customStyle="1" w:styleId="Default">
    <w:name w:val="Default"/>
    <w:rsid w:val="00B557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IE"/>
    </w:rPr>
  </w:style>
  <w:style w:type="paragraph" w:customStyle="1" w:styleId="bold">
    <w:name w:val="bold"/>
    <w:basedOn w:val="Normal"/>
    <w:link w:val="boldChar"/>
    <w:autoRedefine/>
    <w:rsid w:val="00A73B5F"/>
    <w:pPr>
      <w:spacing w:after="240" w:line="240" w:lineRule="auto"/>
    </w:pPr>
    <w:rPr>
      <w:rFonts w:ascii="Open Sans" w:hAnsi="Open Sans"/>
      <w:b/>
      <w:color w:val="0080B4"/>
    </w:rPr>
  </w:style>
  <w:style w:type="character" w:customStyle="1" w:styleId="boldChar">
    <w:name w:val="bold Char"/>
    <w:basedOn w:val="DefaultParagraphFont"/>
    <w:link w:val="bold"/>
    <w:rsid w:val="00A73B5F"/>
    <w:rPr>
      <w:rFonts w:ascii="Open Sans" w:hAnsi="Open Sans"/>
      <w:b/>
      <w:color w:val="0080B4"/>
    </w:rPr>
  </w:style>
  <w:style w:type="paragraph" w:styleId="Revision">
    <w:name w:val="Revision"/>
    <w:hidden/>
    <w:uiPriority w:val="99"/>
    <w:semiHidden/>
    <w:rsid w:val="001133A0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5E447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5E44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E447F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D2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D2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D2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D2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D2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D2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D2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0D2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0D29"/>
    <w:rPr>
      <w:b/>
      <w:bCs/>
    </w:rPr>
  </w:style>
  <w:style w:type="character" w:styleId="Emphasis">
    <w:name w:val="Emphasis"/>
    <w:basedOn w:val="DefaultParagraphFont"/>
    <w:uiPriority w:val="20"/>
    <w:qFormat/>
    <w:rsid w:val="00640D2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40D2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D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D2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D2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40D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0D2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0D2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0D2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0D2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D29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56D43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3A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56B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7895/ices.advice.21840948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ites.org/eng/app/appendices.php" TargetMode="External"/><Relationship Id="rId1" Type="http://schemas.openxmlformats.org/officeDocument/2006/relationships/hyperlink" Target="https://www.iucnredlist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1CEB566C03741B38198BB13D81905" ma:contentTypeVersion="17" ma:contentTypeDescription="Create a new document." ma:contentTypeScope="" ma:versionID="b852ad178c291a3712bd7b491a60ad56">
  <xsd:schema xmlns:xsd="http://www.w3.org/2001/XMLSchema" xmlns:xs="http://www.w3.org/2001/XMLSchema" xmlns:p="http://schemas.microsoft.com/office/2006/metadata/properties" xmlns:ns2="005a6075-a9f1-401b-ab3a-91f53a2bc2c5" xmlns:ns3="0e300a5c-61a7-408a-9999-b310dfccbb72" targetNamespace="http://schemas.microsoft.com/office/2006/metadata/properties" ma:root="true" ma:fieldsID="eb00d2caef7e89dacd9d62536b6eeb95" ns2:_="" ns3:_="">
    <xsd:import namespace="005a6075-a9f1-401b-ab3a-91f53a2bc2c5"/>
    <xsd:import namespace="0e300a5c-61a7-408a-9999-b310dfccb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a6075-a9f1-401b-ab3a-91f53a2b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0d50b8-208a-4156-b98d-82a1eeebe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00a5c-61a7-408a-9999-b310dfccb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e1515-10d8-465a-8b90-2714ae9b05fe}" ma:internalName="TaxCatchAll" ma:showField="CatchAllData" ma:web="0e300a5c-61a7-408a-9999-b310dfccb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00a5c-61a7-408a-9999-b310dfccbb72" xsi:nil="true"/>
    <lcf76f155ced4ddcb4097134ff3c332f xmlns="005a6075-a9f1-401b-ab3a-91f53a2bc2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79615F-35A8-476B-B940-BD84559FE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F05BE-6284-4FA2-9ED4-865AB184ED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666256-5CE6-4354-B44A-0413CAC4EAFA}"/>
</file>

<file path=customXml/itemProps4.xml><?xml version="1.0" encoding="utf-8"?>
<ds:datastoreItem xmlns:ds="http://schemas.openxmlformats.org/officeDocument/2006/customXml" ds:itemID="{A2CB8274-0066-4A50-8EC0-84335CEC2A7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5ea8dd-7a38-4d49-9de9-b60417fa7b52"/>
    <ds:schemaRef ds:uri="40a178b2-3e27-4fa9-87ec-e3db146ee9a8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Peacock</dc:creator>
  <cp:lastModifiedBy>Conor Donnelly</cp:lastModifiedBy>
  <cp:revision>5</cp:revision>
  <cp:lastPrinted>2023-07-31T13:36:00Z</cp:lastPrinted>
  <dcterms:created xsi:type="dcterms:W3CDTF">2023-07-31T13:35:00Z</dcterms:created>
  <dcterms:modified xsi:type="dcterms:W3CDTF">2023-07-31T13:36:00Z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0x010100CC29E67CC14E2E46A1CFD9CC7100562F</vt:lpwstr>
  </property>
  <property fmtid="{D5CDD505-2E9C-101B-9397-08002B2CF9AE}" pid="3" name="NXPowerLiteLastOptimized">
    <vt:lpwstr>180640</vt:lpwstr>
  </property>
  <property fmtid="{D5CDD505-2E9C-101B-9397-08002B2CF9AE}" pid="4" name="NXPowerLiteSettings">
    <vt:lpwstr>C700052003A000</vt:lpwstr>
  </property>
  <property fmtid="{D5CDD505-2E9C-101B-9397-08002B2CF9AE}" pid="5" name="NXPowerLiteVersion">
    <vt:lpwstr>D9.0.3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NSF Confidential</vt:lpwstr>
  </property>
  <property fmtid="{D5CDD505-2E9C-101B-9397-08002B2CF9AE}" pid="10" name="MSIP_Label_26b518dc-1afa-45e0-aaef-f556f62dbfcd_Enabled">
    <vt:lpwstr>true</vt:lpwstr>
  </property>
  <property fmtid="{D5CDD505-2E9C-101B-9397-08002B2CF9AE}" pid="11" name="MSIP_Label_26b518dc-1afa-45e0-aaef-f556f62dbfcd_SetDate">
    <vt:lpwstr>2023-07-27T12:47:55Z</vt:lpwstr>
  </property>
  <property fmtid="{D5CDD505-2E9C-101B-9397-08002B2CF9AE}" pid="12" name="MSIP_Label_26b518dc-1afa-45e0-aaef-f556f62dbfcd_Method">
    <vt:lpwstr>Standard</vt:lpwstr>
  </property>
  <property fmtid="{D5CDD505-2E9C-101B-9397-08002B2CF9AE}" pid="13" name="MSIP_Label_26b518dc-1afa-45e0-aaef-f556f62dbfcd_Name">
    <vt:lpwstr>All-Audiences_Confidential-PROD</vt:lpwstr>
  </property>
  <property fmtid="{D5CDD505-2E9C-101B-9397-08002B2CF9AE}" pid="14" name="MSIP_Label_26b518dc-1afa-45e0-aaef-f556f62dbfcd_SiteId">
    <vt:lpwstr>400696bb-3ef5-44ed-b838-ceb5afd17d90</vt:lpwstr>
  </property>
  <property fmtid="{D5CDD505-2E9C-101B-9397-08002B2CF9AE}" pid="15" name="MSIP_Label_26b518dc-1afa-45e0-aaef-f556f62dbfcd_ActionId">
    <vt:lpwstr>1bce8dfe-e83a-4a41-a01f-5f665e4277be</vt:lpwstr>
  </property>
  <property fmtid="{D5CDD505-2E9C-101B-9397-08002B2CF9AE}" pid="16" name="MSIP_Label_26b518dc-1afa-45e0-aaef-f556f62dbfcd_ContentBits">
    <vt:lpwstr>2</vt:lpwstr>
  </property>
</Properties>
</file>